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6A798"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AAEF</w:t>
      </w:r>
    </w:p>
    <w:p w14:paraId="13283C40"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COMISIÓN DE TRIBUTOS LOCALES</w:t>
      </w:r>
    </w:p>
    <w:p w14:paraId="099C286A" w14:textId="77777777" w:rsidR="00B468EB" w:rsidRPr="00DF1B84"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DF1B84">
        <w:rPr>
          <w:rFonts w:ascii="Arial" w:hAnsi="Arial" w:cs="Arial"/>
          <w:b/>
          <w:bCs/>
          <w:sz w:val="20"/>
          <w:szCs w:val="20"/>
          <w:bdr w:val="none" w:sz="0" w:space="0" w:color="auto" w:frame="1"/>
        </w:rPr>
        <w:t>TEMARIO</w:t>
      </w:r>
    </w:p>
    <w:p w14:paraId="46C710B9" w14:textId="1EA045B1" w:rsidR="00B468EB" w:rsidRPr="00DF1B84"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DF1B84">
        <w:rPr>
          <w:rFonts w:ascii="Arial" w:hAnsi="Arial" w:cs="Arial"/>
          <w:b/>
          <w:bCs/>
          <w:sz w:val="20"/>
          <w:szCs w:val="20"/>
          <w:bdr w:val="none" w:sz="0" w:space="0" w:color="auto" w:frame="1"/>
        </w:rPr>
        <w:t xml:space="preserve">REUNIÓN – </w:t>
      </w:r>
      <w:r w:rsidR="003B449A" w:rsidRPr="00DF1B84">
        <w:rPr>
          <w:rFonts w:ascii="Arial" w:hAnsi="Arial" w:cs="Arial"/>
          <w:b/>
          <w:bCs/>
          <w:sz w:val="20"/>
          <w:szCs w:val="20"/>
          <w:bdr w:val="none" w:sz="0" w:space="0" w:color="auto" w:frame="1"/>
        </w:rPr>
        <w:t>SEPTIEMBRE 2025</w:t>
      </w:r>
    </w:p>
    <w:p w14:paraId="611EF5E0" w14:textId="77777777" w:rsidR="00B468EB" w:rsidRPr="00DF1B84" w:rsidRDefault="00B468EB" w:rsidP="002A6A59">
      <w:pPr>
        <w:ind w:left="720" w:hanging="360"/>
      </w:pPr>
    </w:p>
    <w:p w14:paraId="6B35E8EB" w14:textId="550F80B1" w:rsidR="004422C1" w:rsidRPr="00DF1B84" w:rsidRDefault="00DC04CB" w:rsidP="00DF1B84">
      <w:pPr>
        <w:pStyle w:val="Prrafodelista"/>
        <w:numPr>
          <w:ilvl w:val="0"/>
          <w:numId w:val="4"/>
        </w:numPr>
        <w:rPr>
          <w:rFonts w:ascii="Arial" w:eastAsia="Times New Roman" w:hAnsi="Arial" w:cs="Arial"/>
          <w:b/>
          <w:bCs/>
          <w:kern w:val="0"/>
          <w:sz w:val="20"/>
          <w:szCs w:val="20"/>
          <w:bdr w:val="none" w:sz="0" w:space="0" w:color="auto" w:frame="1"/>
          <w:lang w:eastAsia="es-AR"/>
          <w14:ligatures w14:val="none"/>
        </w:rPr>
      </w:pPr>
      <w:r w:rsidRPr="00DF1B84">
        <w:rPr>
          <w:rFonts w:ascii="Arial" w:hAnsi="Arial" w:cs="Arial"/>
          <w:b/>
          <w:bCs/>
          <w:sz w:val="20"/>
          <w:szCs w:val="20"/>
          <w:bdr w:val="none" w:sz="0" w:space="0" w:color="auto" w:frame="1"/>
        </w:rPr>
        <w:t xml:space="preserve">DICTAMEN </w:t>
      </w:r>
      <w:r w:rsidR="00701F48" w:rsidRPr="00DF1B84">
        <w:rPr>
          <w:rFonts w:ascii="Arial" w:hAnsi="Arial" w:cs="Arial"/>
          <w:b/>
          <w:bCs/>
          <w:sz w:val="20"/>
          <w:szCs w:val="20"/>
          <w:bdr w:val="none" w:sz="0" w:space="0" w:color="auto" w:frame="1"/>
        </w:rPr>
        <w:t>AGIP</w:t>
      </w:r>
      <w:r w:rsidR="004422C1" w:rsidRPr="00DF1B84">
        <w:rPr>
          <w:rFonts w:ascii="Arial" w:hAnsi="Arial" w:cs="Arial"/>
          <w:b/>
          <w:bCs/>
          <w:sz w:val="20"/>
          <w:szCs w:val="20"/>
          <w:bdr w:val="none" w:sz="0" w:space="0" w:color="auto" w:frame="1"/>
        </w:rPr>
        <w:t>.</w:t>
      </w:r>
      <w:r w:rsidR="00DF1B84" w:rsidRPr="00DF1B84">
        <w:t xml:space="preserve"> </w:t>
      </w:r>
      <w:r w:rsidR="00DF1B84" w:rsidRPr="00DF1B84">
        <w:rPr>
          <w:rFonts w:ascii="Arial" w:hAnsi="Arial" w:cs="Arial"/>
          <w:b/>
          <w:bCs/>
          <w:sz w:val="20"/>
          <w:szCs w:val="20"/>
          <w:bdr w:val="none" w:sz="0" w:space="0" w:color="auto" w:frame="1"/>
        </w:rPr>
        <w:t>IF-2024 30291990-GCABA-DGANFA. Exención Impuesto sobre los Ingresos Brutos.</w:t>
      </w:r>
      <w:r w:rsidR="00DF1B84" w:rsidRPr="00DF1B84">
        <w:rPr>
          <w:rFonts w:ascii="Arial" w:eastAsia="Times New Roman" w:hAnsi="Arial" w:cs="Arial"/>
          <w:b/>
          <w:bCs/>
          <w:kern w:val="0"/>
          <w:sz w:val="20"/>
          <w:szCs w:val="20"/>
          <w:bdr w:val="none" w:sz="0" w:space="0" w:color="auto" w:frame="1"/>
          <w:lang w:eastAsia="es-AR"/>
          <w14:ligatures w14:val="none"/>
        </w:rPr>
        <w:t xml:space="preserve"> Comenta Dr. Juan </w:t>
      </w:r>
      <w:proofErr w:type="spellStart"/>
      <w:r w:rsidR="00DF1B84" w:rsidRPr="00DF1B84">
        <w:rPr>
          <w:rFonts w:ascii="Arial" w:eastAsia="Times New Roman" w:hAnsi="Arial" w:cs="Arial"/>
          <w:b/>
          <w:bCs/>
          <w:kern w:val="0"/>
          <w:sz w:val="20"/>
          <w:szCs w:val="20"/>
          <w:bdr w:val="none" w:sz="0" w:space="0" w:color="auto" w:frame="1"/>
          <w:lang w:eastAsia="es-AR"/>
          <w14:ligatures w14:val="none"/>
        </w:rPr>
        <w:t>Nigrelli</w:t>
      </w:r>
      <w:proofErr w:type="spellEnd"/>
      <w:r w:rsidR="00DF1B84" w:rsidRPr="00DF1B84">
        <w:rPr>
          <w:rFonts w:ascii="Arial" w:eastAsia="Times New Roman" w:hAnsi="Arial" w:cs="Arial"/>
          <w:b/>
          <w:bCs/>
          <w:kern w:val="0"/>
          <w:sz w:val="20"/>
          <w:szCs w:val="20"/>
          <w:bdr w:val="none" w:sz="0" w:space="0" w:color="auto" w:frame="1"/>
          <w:lang w:eastAsia="es-AR"/>
          <w14:ligatures w14:val="none"/>
        </w:rPr>
        <w:t>, Legal y Técnica AGIP.</w:t>
      </w:r>
    </w:p>
    <w:p w14:paraId="3E3ABD95" w14:textId="77777777" w:rsidR="001B5503" w:rsidRPr="00BA675B" w:rsidRDefault="001B5503" w:rsidP="00CB6581">
      <w:pPr>
        <w:spacing w:line="360" w:lineRule="atLeast"/>
        <w:jc w:val="both"/>
        <w:rPr>
          <w:rFonts w:ascii="Arial" w:hAnsi="Arial" w:cs="Arial"/>
          <w:sz w:val="20"/>
          <w:szCs w:val="20"/>
        </w:rPr>
      </w:pPr>
    </w:p>
    <w:p w14:paraId="3BBE85D0" w14:textId="799F06DF" w:rsidR="00373B73" w:rsidRPr="00BA675B" w:rsidRDefault="001B5503" w:rsidP="001B5503">
      <w:pPr>
        <w:pStyle w:val="Prrafodelista"/>
        <w:numPr>
          <w:ilvl w:val="0"/>
          <w:numId w:val="5"/>
        </w:numPr>
        <w:spacing w:line="360" w:lineRule="atLeast"/>
        <w:jc w:val="both"/>
        <w:rPr>
          <w:rFonts w:ascii="Arial" w:hAnsi="Arial" w:cs="Arial"/>
          <w:b/>
          <w:bCs/>
          <w:sz w:val="20"/>
          <w:szCs w:val="20"/>
        </w:rPr>
      </w:pPr>
      <w:r w:rsidRPr="00BA675B">
        <w:rPr>
          <w:rFonts w:ascii="Arial" w:hAnsi="Arial" w:cs="Arial"/>
          <w:b/>
          <w:bCs/>
          <w:sz w:val="20"/>
          <w:szCs w:val="20"/>
        </w:rPr>
        <w:t>JURISPRUDENCIA JUDICIAL</w:t>
      </w:r>
    </w:p>
    <w:p w14:paraId="2D0E75E6" w14:textId="67DE5664" w:rsidR="0073545C" w:rsidRPr="00F06E9B" w:rsidRDefault="0073545C" w:rsidP="00B83522">
      <w:pPr>
        <w:pStyle w:val="xmsonormal"/>
        <w:numPr>
          <w:ilvl w:val="0"/>
          <w:numId w:val="4"/>
        </w:numPr>
        <w:shd w:val="clear" w:color="auto" w:fill="FFFFFF"/>
        <w:spacing w:after="0" w:line="360" w:lineRule="atLeast"/>
        <w:jc w:val="both"/>
        <w:rPr>
          <w:rFonts w:ascii="Arial" w:hAnsi="Arial" w:cs="Arial"/>
          <w:b/>
          <w:bCs/>
          <w:sz w:val="20"/>
          <w:szCs w:val="20"/>
          <w:bdr w:val="none" w:sz="0" w:space="0" w:color="auto" w:frame="1"/>
        </w:rPr>
      </w:pPr>
      <w:r w:rsidRPr="00F06E9B">
        <w:rPr>
          <w:rFonts w:ascii="Arial" w:hAnsi="Arial" w:cs="Arial"/>
          <w:b/>
          <w:bCs/>
          <w:sz w:val="20"/>
          <w:szCs w:val="20"/>
          <w:bdr w:val="none" w:sz="0" w:space="0" w:color="auto" w:frame="1"/>
        </w:rPr>
        <w:t>Corte Suprema de Justicia de la Nación</w:t>
      </w:r>
      <w:r w:rsidR="008D38D7" w:rsidRPr="00F06E9B">
        <w:rPr>
          <w:rFonts w:ascii="Arial" w:hAnsi="Arial" w:cs="Arial"/>
          <w:b/>
          <w:bCs/>
          <w:sz w:val="20"/>
          <w:szCs w:val="20"/>
          <w:bdr w:val="none" w:sz="0" w:space="0" w:color="auto" w:frame="1"/>
        </w:rPr>
        <w:t>, “</w:t>
      </w:r>
      <w:r w:rsidR="00F06E9B" w:rsidRPr="00F06E9B">
        <w:rPr>
          <w:rFonts w:ascii="Arial" w:hAnsi="Arial" w:cs="Arial"/>
          <w:b/>
          <w:bCs/>
          <w:sz w:val="20"/>
          <w:szCs w:val="20"/>
          <w:bdr w:val="none" w:sz="0" w:space="0" w:color="auto" w:frame="1"/>
        </w:rPr>
        <w:t xml:space="preserve">Círculo de Inversores S.A. Unipersonal de Ahorro para Fines Determinados c/ Administradora Tributaria de Entre Ríos y </w:t>
      </w:r>
      <w:proofErr w:type="spellStart"/>
      <w:r w:rsidR="00F06E9B" w:rsidRPr="00F06E9B">
        <w:rPr>
          <w:rFonts w:ascii="Arial" w:hAnsi="Arial" w:cs="Arial"/>
          <w:b/>
          <w:bCs/>
          <w:sz w:val="20"/>
          <w:szCs w:val="20"/>
          <w:bdr w:val="none" w:sz="0" w:space="0" w:color="auto" w:frame="1"/>
        </w:rPr>
        <w:t>otro s</w:t>
      </w:r>
      <w:proofErr w:type="spellEnd"/>
      <w:r w:rsidR="00F06E9B" w:rsidRPr="00F06E9B">
        <w:rPr>
          <w:rFonts w:ascii="Arial" w:hAnsi="Arial" w:cs="Arial"/>
          <w:b/>
          <w:bCs/>
          <w:sz w:val="20"/>
          <w:szCs w:val="20"/>
          <w:bdr w:val="none" w:sz="0" w:space="0" w:color="auto" w:frame="1"/>
        </w:rPr>
        <w:t>/acción declarativa de certeza</w:t>
      </w:r>
      <w:r w:rsidR="001734BD" w:rsidRPr="00F06E9B">
        <w:rPr>
          <w:rFonts w:ascii="Arial" w:hAnsi="Arial" w:cs="Arial"/>
          <w:b/>
          <w:bCs/>
          <w:sz w:val="20"/>
          <w:szCs w:val="20"/>
          <w:bdr w:val="none" w:sz="0" w:space="0" w:color="auto" w:frame="1"/>
        </w:rPr>
        <w:t>.</w:t>
      </w:r>
      <w:r w:rsidR="008D38D7" w:rsidRPr="00F06E9B">
        <w:rPr>
          <w:rFonts w:ascii="Arial" w:hAnsi="Arial" w:cs="Arial"/>
          <w:b/>
          <w:bCs/>
          <w:sz w:val="20"/>
          <w:szCs w:val="20"/>
          <w:bdr w:val="none" w:sz="0" w:space="0" w:color="auto" w:frame="1"/>
        </w:rPr>
        <w:t>”</w:t>
      </w:r>
      <w:r w:rsidR="007C1933" w:rsidRPr="00F06E9B">
        <w:rPr>
          <w:rFonts w:ascii="Arial" w:hAnsi="Arial" w:cs="Arial"/>
          <w:b/>
          <w:bCs/>
          <w:i/>
          <w:iCs/>
          <w:sz w:val="20"/>
          <w:szCs w:val="20"/>
          <w:bdr w:val="none" w:sz="0" w:space="0" w:color="auto" w:frame="1"/>
        </w:rPr>
        <w:t xml:space="preserve">. </w:t>
      </w:r>
      <w:r w:rsidR="00F06E9B" w:rsidRPr="00F06E9B">
        <w:rPr>
          <w:rFonts w:ascii="Arial" w:hAnsi="Arial" w:cs="Arial"/>
          <w:b/>
          <w:bCs/>
          <w:i/>
          <w:iCs/>
          <w:sz w:val="20"/>
          <w:szCs w:val="20"/>
          <w:bdr w:val="none" w:sz="0" w:space="0" w:color="auto" w:frame="1"/>
        </w:rPr>
        <w:t>17</w:t>
      </w:r>
      <w:r w:rsidR="007C1933" w:rsidRPr="00F06E9B">
        <w:rPr>
          <w:rFonts w:ascii="Arial" w:hAnsi="Arial" w:cs="Arial"/>
          <w:b/>
          <w:bCs/>
          <w:sz w:val="20"/>
          <w:szCs w:val="20"/>
          <w:bdr w:val="none" w:sz="0" w:space="0" w:color="auto" w:frame="1"/>
        </w:rPr>
        <w:t>/0</w:t>
      </w:r>
      <w:r w:rsidR="00F06E9B" w:rsidRPr="00F06E9B">
        <w:rPr>
          <w:rFonts w:ascii="Arial" w:hAnsi="Arial" w:cs="Arial"/>
          <w:b/>
          <w:bCs/>
          <w:sz w:val="20"/>
          <w:szCs w:val="20"/>
          <w:bdr w:val="none" w:sz="0" w:space="0" w:color="auto" w:frame="1"/>
        </w:rPr>
        <w:t>7</w:t>
      </w:r>
      <w:r w:rsidR="007C1933" w:rsidRPr="00F06E9B">
        <w:rPr>
          <w:rFonts w:ascii="Arial" w:hAnsi="Arial" w:cs="Arial"/>
          <w:b/>
          <w:bCs/>
          <w:sz w:val="20"/>
          <w:szCs w:val="20"/>
          <w:bdr w:val="none" w:sz="0" w:space="0" w:color="auto" w:frame="1"/>
        </w:rPr>
        <w:t>/2025</w:t>
      </w:r>
      <w:r w:rsidR="001734BD" w:rsidRPr="00F06E9B">
        <w:rPr>
          <w:rFonts w:ascii="Arial" w:hAnsi="Arial" w:cs="Arial"/>
          <w:b/>
          <w:bCs/>
          <w:sz w:val="20"/>
          <w:szCs w:val="20"/>
          <w:bdr w:val="none" w:sz="0" w:space="0" w:color="auto" w:frame="1"/>
        </w:rPr>
        <w:t>.</w:t>
      </w:r>
      <w:r w:rsidR="00F06E9B">
        <w:t xml:space="preserve"> </w:t>
      </w:r>
      <w:r w:rsidR="00F06E9B" w:rsidRPr="00F06E9B">
        <w:rPr>
          <w:rFonts w:ascii="Arial" w:hAnsi="Arial" w:cs="Arial"/>
          <w:b/>
          <w:bCs/>
          <w:sz w:val="20"/>
          <w:szCs w:val="20"/>
          <w:bdr w:val="none" w:sz="0" w:space="0" w:color="auto" w:frame="1"/>
        </w:rPr>
        <w:t xml:space="preserve">Caso ajeno a la competencia originaria </w:t>
      </w:r>
      <w:r w:rsidR="00F06E9B">
        <w:rPr>
          <w:rFonts w:ascii="Arial" w:hAnsi="Arial" w:cs="Arial"/>
          <w:b/>
          <w:bCs/>
          <w:sz w:val="20"/>
          <w:szCs w:val="20"/>
          <w:bdr w:val="none" w:sz="0" w:space="0" w:color="auto" w:frame="1"/>
        </w:rPr>
        <w:t xml:space="preserve">de la CSJN, por ser parte una </w:t>
      </w:r>
      <w:r w:rsidR="00F06E9B" w:rsidRPr="00F06E9B">
        <w:rPr>
          <w:rFonts w:ascii="Arial" w:hAnsi="Arial" w:cs="Arial"/>
          <w:b/>
          <w:bCs/>
          <w:sz w:val="20"/>
          <w:szCs w:val="20"/>
          <w:bdr w:val="none" w:sz="0" w:space="0" w:color="auto" w:frame="1"/>
        </w:rPr>
        <w:t>entidad autárquica</w:t>
      </w:r>
      <w:r w:rsidR="00F06E9B">
        <w:rPr>
          <w:rFonts w:ascii="Arial" w:hAnsi="Arial" w:cs="Arial"/>
          <w:b/>
          <w:bCs/>
          <w:sz w:val="20"/>
          <w:szCs w:val="20"/>
          <w:bdr w:val="none" w:sz="0" w:space="0" w:color="auto" w:frame="1"/>
        </w:rPr>
        <w:t xml:space="preserve">. </w:t>
      </w:r>
    </w:p>
    <w:p w14:paraId="5DB5F179" w14:textId="4391DFF8" w:rsidR="009D482B" w:rsidRDefault="00E963AA" w:rsidP="00E963AA">
      <w:pPr>
        <w:spacing w:line="360" w:lineRule="atLeast"/>
        <w:jc w:val="both"/>
        <w:rPr>
          <w:rFonts w:ascii="Arial" w:hAnsi="Arial" w:cs="Arial"/>
          <w:sz w:val="20"/>
          <w:szCs w:val="20"/>
        </w:rPr>
      </w:pPr>
      <w:r>
        <w:rPr>
          <w:rFonts w:ascii="Arial" w:hAnsi="Arial" w:cs="Arial"/>
          <w:sz w:val="20"/>
          <w:szCs w:val="20"/>
        </w:rPr>
        <w:t>P</w:t>
      </w:r>
      <w:r w:rsidRPr="00E963AA">
        <w:rPr>
          <w:rFonts w:ascii="Arial" w:hAnsi="Arial" w:cs="Arial"/>
          <w:sz w:val="20"/>
          <w:szCs w:val="20"/>
        </w:rPr>
        <w:t>or medio de la presente acción se pretende hacer cesar el estado de</w:t>
      </w:r>
      <w:r>
        <w:rPr>
          <w:rFonts w:ascii="Arial" w:hAnsi="Arial" w:cs="Arial"/>
          <w:sz w:val="20"/>
          <w:szCs w:val="20"/>
        </w:rPr>
        <w:t xml:space="preserve"> </w:t>
      </w:r>
      <w:r w:rsidRPr="00E963AA">
        <w:rPr>
          <w:rFonts w:ascii="Arial" w:hAnsi="Arial" w:cs="Arial"/>
          <w:sz w:val="20"/>
          <w:szCs w:val="20"/>
        </w:rPr>
        <w:t>incertidumbre en el que dice encontrarse a raíz de la denegación tácita (de la</w:t>
      </w:r>
      <w:r>
        <w:rPr>
          <w:rFonts w:ascii="Arial" w:hAnsi="Arial" w:cs="Arial"/>
          <w:sz w:val="20"/>
          <w:szCs w:val="20"/>
        </w:rPr>
        <w:t xml:space="preserve"> </w:t>
      </w:r>
      <w:r w:rsidRPr="00E963AA">
        <w:rPr>
          <w:rFonts w:ascii="Arial" w:hAnsi="Arial" w:cs="Arial"/>
          <w:sz w:val="20"/>
          <w:szCs w:val="20"/>
        </w:rPr>
        <w:t>ATER) a su pedido tendiente a que dicho organismo confirme la “no</w:t>
      </w:r>
      <w:r>
        <w:rPr>
          <w:rFonts w:ascii="Arial" w:hAnsi="Arial" w:cs="Arial"/>
          <w:sz w:val="20"/>
          <w:szCs w:val="20"/>
        </w:rPr>
        <w:t xml:space="preserve"> </w:t>
      </w:r>
      <w:proofErr w:type="spellStart"/>
      <w:r w:rsidRPr="00E963AA">
        <w:rPr>
          <w:rFonts w:ascii="Arial" w:hAnsi="Arial" w:cs="Arial"/>
          <w:sz w:val="20"/>
          <w:szCs w:val="20"/>
        </w:rPr>
        <w:t>gravabilidad</w:t>
      </w:r>
      <w:proofErr w:type="spellEnd"/>
      <w:r w:rsidRPr="00E963AA">
        <w:rPr>
          <w:rFonts w:ascii="Arial" w:hAnsi="Arial" w:cs="Arial"/>
          <w:sz w:val="20"/>
          <w:szCs w:val="20"/>
        </w:rPr>
        <w:t>” en el impuesto de sellos de las solicitudes de adhesión que utiliza</w:t>
      </w:r>
      <w:r>
        <w:rPr>
          <w:rFonts w:ascii="Arial" w:hAnsi="Arial" w:cs="Arial"/>
          <w:sz w:val="20"/>
          <w:szCs w:val="20"/>
        </w:rPr>
        <w:t xml:space="preserve"> </w:t>
      </w:r>
      <w:r w:rsidRPr="00E963AA">
        <w:rPr>
          <w:rFonts w:ascii="Arial" w:hAnsi="Arial" w:cs="Arial"/>
          <w:sz w:val="20"/>
          <w:szCs w:val="20"/>
        </w:rPr>
        <w:t>para su actividad</w:t>
      </w:r>
    </w:p>
    <w:p w14:paraId="1E8F4EAE" w14:textId="0A8E1E44" w:rsidR="00806E87" w:rsidRDefault="00E963AA" w:rsidP="00806E87">
      <w:pPr>
        <w:spacing w:line="360" w:lineRule="atLeast"/>
        <w:jc w:val="both"/>
        <w:rPr>
          <w:rFonts w:ascii="Arial" w:hAnsi="Arial" w:cs="Arial"/>
          <w:sz w:val="20"/>
          <w:szCs w:val="20"/>
        </w:rPr>
      </w:pPr>
      <w:r>
        <w:rPr>
          <w:rFonts w:ascii="Arial" w:hAnsi="Arial" w:cs="Arial"/>
          <w:sz w:val="20"/>
          <w:szCs w:val="20"/>
        </w:rPr>
        <w:t>E</w:t>
      </w:r>
      <w:r w:rsidR="00806E87" w:rsidRPr="00806E87">
        <w:rPr>
          <w:rFonts w:ascii="Arial" w:hAnsi="Arial" w:cs="Arial"/>
          <w:sz w:val="20"/>
          <w:szCs w:val="20"/>
        </w:rPr>
        <w:t>n situaciones como la que se configura en la</w:t>
      </w:r>
      <w:r>
        <w:rPr>
          <w:rFonts w:ascii="Arial" w:hAnsi="Arial" w:cs="Arial"/>
          <w:sz w:val="20"/>
          <w:szCs w:val="20"/>
        </w:rPr>
        <w:t xml:space="preserve"> </w:t>
      </w:r>
      <w:r w:rsidR="00806E87" w:rsidRPr="00806E87">
        <w:rPr>
          <w:rFonts w:ascii="Arial" w:hAnsi="Arial" w:cs="Arial"/>
          <w:sz w:val="20"/>
          <w:szCs w:val="20"/>
        </w:rPr>
        <w:t>presente causa, en las que resultan vinculadas las direcciones de rentas</w:t>
      </w:r>
      <w:r>
        <w:rPr>
          <w:rFonts w:ascii="Arial" w:hAnsi="Arial" w:cs="Arial"/>
          <w:sz w:val="20"/>
          <w:szCs w:val="20"/>
        </w:rPr>
        <w:t xml:space="preserve"> </w:t>
      </w:r>
      <w:r w:rsidR="00806E87" w:rsidRPr="00806E87">
        <w:rPr>
          <w:rFonts w:ascii="Arial" w:hAnsi="Arial" w:cs="Arial"/>
          <w:sz w:val="20"/>
          <w:szCs w:val="20"/>
        </w:rPr>
        <w:t>provinciales es necesario examinar, en cada caso y con el propósito de discernir</w:t>
      </w:r>
      <w:r>
        <w:rPr>
          <w:rFonts w:ascii="Arial" w:hAnsi="Arial" w:cs="Arial"/>
          <w:sz w:val="20"/>
          <w:szCs w:val="20"/>
        </w:rPr>
        <w:t xml:space="preserve"> </w:t>
      </w:r>
      <w:r w:rsidR="00806E87" w:rsidRPr="00806E87">
        <w:rPr>
          <w:rFonts w:ascii="Arial" w:hAnsi="Arial" w:cs="Arial"/>
          <w:sz w:val="20"/>
          <w:szCs w:val="20"/>
        </w:rPr>
        <w:t>cabalmente la competencia originaria, cuál es la autoridad que efectivamente</w:t>
      </w:r>
      <w:r>
        <w:rPr>
          <w:rFonts w:ascii="Arial" w:hAnsi="Arial" w:cs="Arial"/>
          <w:sz w:val="20"/>
          <w:szCs w:val="20"/>
        </w:rPr>
        <w:t xml:space="preserve"> </w:t>
      </w:r>
      <w:r w:rsidR="00806E87" w:rsidRPr="00806E87">
        <w:rPr>
          <w:rFonts w:ascii="Arial" w:hAnsi="Arial" w:cs="Arial"/>
          <w:sz w:val="20"/>
          <w:szCs w:val="20"/>
        </w:rPr>
        <w:t>tiene interés directo en el conflicto y, por ende, aptitud para cumplir con el</w:t>
      </w:r>
      <w:r w:rsidR="00806E87" w:rsidRPr="00806E87">
        <w:t xml:space="preserve"> </w:t>
      </w:r>
      <w:r w:rsidR="00806E87" w:rsidRPr="00806E87">
        <w:rPr>
          <w:rFonts w:ascii="Arial" w:hAnsi="Arial" w:cs="Arial"/>
          <w:sz w:val="20"/>
          <w:szCs w:val="20"/>
        </w:rPr>
        <w:t>mandato restitutorio del derecho que se denuncia como violado en el supuesto</w:t>
      </w:r>
      <w:r>
        <w:rPr>
          <w:rFonts w:ascii="Arial" w:hAnsi="Arial" w:cs="Arial"/>
          <w:sz w:val="20"/>
          <w:szCs w:val="20"/>
        </w:rPr>
        <w:t xml:space="preserve"> </w:t>
      </w:r>
      <w:r w:rsidR="00806E87" w:rsidRPr="00806E87">
        <w:rPr>
          <w:rFonts w:ascii="Arial" w:hAnsi="Arial" w:cs="Arial"/>
          <w:sz w:val="20"/>
          <w:szCs w:val="20"/>
        </w:rPr>
        <w:t>de admitirse la demand</w:t>
      </w:r>
      <w:r w:rsidR="00806E87">
        <w:rPr>
          <w:rFonts w:ascii="Arial" w:hAnsi="Arial" w:cs="Arial"/>
          <w:sz w:val="20"/>
          <w:szCs w:val="20"/>
        </w:rPr>
        <w:t>a</w:t>
      </w:r>
      <w:r>
        <w:rPr>
          <w:rFonts w:ascii="Arial" w:hAnsi="Arial" w:cs="Arial"/>
          <w:sz w:val="20"/>
          <w:szCs w:val="20"/>
        </w:rPr>
        <w:t>.</w:t>
      </w:r>
    </w:p>
    <w:p w14:paraId="0BF4977E" w14:textId="11BDAD5C" w:rsidR="00806E87" w:rsidRPr="00806E87" w:rsidRDefault="00E963AA" w:rsidP="00806E87">
      <w:pPr>
        <w:spacing w:line="360" w:lineRule="atLeast"/>
        <w:jc w:val="both"/>
        <w:rPr>
          <w:rFonts w:ascii="Arial" w:hAnsi="Arial" w:cs="Arial"/>
          <w:sz w:val="20"/>
          <w:szCs w:val="20"/>
        </w:rPr>
      </w:pPr>
      <w:r>
        <w:rPr>
          <w:rFonts w:ascii="Arial" w:hAnsi="Arial" w:cs="Arial"/>
          <w:sz w:val="20"/>
          <w:szCs w:val="20"/>
        </w:rPr>
        <w:t>E</w:t>
      </w:r>
      <w:r w:rsidR="00806E87" w:rsidRPr="00806E87">
        <w:rPr>
          <w:rFonts w:ascii="Arial" w:hAnsi="Arial" w:cs="Arial"/>
          <w:sz w:val="20"/>
          <w:szCs w:val="20"/>
        </w:rPr>
        <w:t>n ese marco, es relevante señalar que la conducta que se</w:t>
      </w:r>
      <w:r>
        <w:rPr>
          <w:rFonts w:ascii="Arial" w:hAnsi="Arial" w:cs="Arial"/>
          <w:sz w:val="20"/>
          <w:szCs w:val="20"/>
        </w:rPr>
        <w:t xml:space="preserve"> </w:t>
      </w:r>
      <w:r w:rsidR="00806E87" w:rsidRPr="00806E87">
        <w:rPr>
          <w:rFonts w:ascii="Arial" w:hAnsi="Arial" w:cs="Arial"/>
          <w:sz w:val="20"/>
          <w:szCs w:val="20"/>
        </w:rPr>
        <w:t>le atribuye a la dirección de rentas provincial refiere a aspectos inherentes a las</w:t>
      </w:r>
      <w:r>
        <w:rPr>
          <w:rFonts w:ascii="Arial" w:hAnsi="Arial" w:cs="Arial"/>
          <w:sz w:val="20"/>
          <w:szCs w:val="20"/>
        </w:rPr>
        <w:t xml:space="preserve"> </w:t>
      </w:r>
      <w:r w:rsidR="00806E87" w:rsidRPr="00806E87">
        <w:rPr>
          <w:rFonts w:ascii="Arial" w:hAnsi="Arial" w:cs="Arial"/>
          <w:sz w:val="20"/>
          <w:szCs w:val="20"/>
        </w:rPr>
        <w:t>funciones que le han sido asignadas en su condición de autoridad de aplicación</w:t>
      </w:r>
      <w:r>
        <w:rPr>
          <w:rFonts w:ascii="Arial" w:hAnsi="Arial" w:cs="Arial"/>
          <w:sz w:val="20"/>
          <w:szCs w:val="20"/>
        </w:rPr>
        <w:t xml:space="preserve"> </w:t>
      </w:r>
      <w:r w:rsidR="00806E87" w:rsidRPr="00806E87">
        <w:rPr>
          <w:rFonts w:ascii="Arial" w:hAnsi="Arial" w:cs="Arial"/>
          <w:sz w:val="20"/>
          <w:szCs w:val="20"/>
        </w:rPr>
        <w:t>del Código Fiscal y disposiciones legales y complementarias –aspecto que no es</w:t>
      </w:r>
      <w:r>
        <w:rPr>
          <w:rFonts w:ascii="Arial" w:hAnsi="Arial" w:cs="Arial"/>
          <w:sz w:val="20"/>
          <w:szCs w:val="20"/>
        </w:rPr>
        <w:t xml:space="preserve"> </w:t>
      </w:r>
      <w:r w:rsidR="00806E87" w:rsidRPr="00806E87">
        <w:rPr>
          <w:rFonts w:ascii="Arial" w:hAnsi="Arial" w:cs="Arial"/>
          <w:sz w:val="20"/>
          <w:szCs w:val="20"/>
        </w:rPr>
        <w:t>cuestionado por la actora- y no se ha invocado que resulte necesaria la</w:t>
      </w:r>
      <w:r>
        <w:rPr>
          <w:rFonts w:ascii="Arial" w:hAnsi="Arial" w:cs="Arial"/>
          <w:sz w:val="20"/>
          <w:szCs w:val="20"/>
        </w:rPr>
        <w:t xml:space="preserve"> </w:t>
      </w:r>
      <w:r w:rsidR="00806E87" w:rsidRPr="00806E87">
        <w:rPr>
          <w:rFonts w:ascii="Arial" w:hAnsi="Arial" w:cs="Arial"/>
          <w:sz w:val="20"/>
          <w:szCs w:val="20"/>
        </w:rPr>
        <w:t>intervención de algún otro organismo provincial -fuera de la misma</w:t>
      </w:r>
      <w:r>
        <w:rPr>
          <w:rFonts w:ascii="Arial" w:hAnsi="Arial" w:cs="Arial"/>
          <w:sz w:val="20"/>
          <w:szCs w:val="20"/>
        </w:rPr>
        <w:t xml:space="preserve"> </w:t>
      </w:r>
      <w:r w:rsidR="00806E87" w:rsidRPr="00806E87">
        <w:rPr>
          <w:rFonts w:ascii="Arial" w:hAnsi="Arial" w:cs="Arial"/>
          <w:sz w:val="20"/>
          <w:szCs w:val="20"/>
        </w:rPr>
        <w:t>Administración Tributaria- para cumplir eventualmente con una sentencia que</w:t>
      </w:r>
      <w:r>
        <w:rPr>
          <w:rFonts w:ascii="Arial" w:hAnsi="Arial" w:cs="Arial"/>
          <w:sz w:val="20"/>
          <w:szCs w:val="20"/>
        </w:rPr>
        <w:t xml:space="preserve"> </w:t>
      </w:r>
      <w:r w:rsidR="00806E87" w:rsidRPr="00806E87">
        <w:rPr>
          <w:rFonts w:ascii="Arial" w:hAnsi="Arial" w:cs="Arial"/>
          <w:sz w:val="20"/>
          <w:szCs w:val="20"/>
        </w:rPr>
        <w:t>admitiera la demanda, es decir, para restablecer la integridad del derecho que se</w:t>
      </w:r>
      <w:r>
        <w:rPr>
          <w:rFonts w:ascii="Arial" w:hAnsi="Arial" w:cs="Arial"/>
          <w:sz w:val="20"/>
          <w:szCs w:val="20"/>
        </w:rPr>
        <w:t xml:space="preserve"> </w:t>
      </w:r>
      <w:r w:rsidR="00806E87" w:rsidRPr="00806E87">
        <w:rPr>
          <w:rFonts w:ascii="Arial" w:hAnsi="Arial" w:cs="Arial"/>
          <w:sz w:val="20"/>
          <w:szCs w:val="20"/>
        </w:rPr>
        <w:t>señala como vulnerado.</w:t>
      </w:r>
    </w:p>
    <w:p w14:paraId="78C5837C" w14:textId="59628C4D" w:rsidR="00806E87" w:rsidRPr="00806E87" w:rsidRDefault="00806E87" w:rsidP="00806E87">
      <w:pPr>
        <w:spacing w:line="360" w:lineRule="atLeast"/>
        <w:jc w:val="both"/>
        <w:rPr>
          <w:rFonts w:ascii="Arial" w:hAnsi="Arial" w:cs="Arial"/>
          <w:sz w:val="20"/>
          <w:szCs w:val="20"/>
        </w:rPr>
      </w:pPr>
      <w:r w:rsidRPr="00806E87">
        <w:rPr>
          <w:rFonts w:ascii="Arial" w:hAnsi="Arial" w:cs="Arial"/>
          <w:sz w:val="20"/>
          <w:szCs w:val="20"/>
        </w:rPr>
        <w:t>Por consiguiente, los antecedentes aportados demuestran que la</w:t>
      </w:r>
      <w:r w:rsidR="00E963AA">
        <w:rPr>
          <w:rFonts w:ascii="Arial" w:hAnsi="Arial" w:cs="Arial"/>
          <w:sz w:val="20"/>
          <w:szCs w:val="20"/>
        </w:rPr>
        <w:t xml:space="preserve"> </w:t>
      </w:r>
      <w:r w:rsidRPr="00806E87">
        <w:rPr>
          <w:rFonts w:ascii="Arial" w:hAnsi="Arial" w:cs="Arial"/>
          <w:sz w:val="20"/>
          <w:szCs w:val="20"/>
        </w:rPr>
        <w:t>Provincia demandada –al menos en este estado de la causa- no reviste en el caso</w:t>
      </w:r>
      <w:r w:rsidR="00E963AA">
        <w:rPr>
          <w:rFonts w:ascii="Arial" w:hAnsi="Arial" w:cs="Arial"/>
          <w:sz w:val="20"/>
          <w:szCs w:val="20"/>
        </w:rPr>
        <w:t xml:space="preserve"> </w:t>
      </w:r>
      <w:r w:rsidRPr="00806E87">
        <w:rPr>
          <w:rFonts w:ascii="Arial" w:hAnsi="Arial" w:cs="Arial"/>
          <w:sz w:val="20"/>
          <w:szCs w:val="20"/>
        </w:rPr>
        <w:t>el carácter de parte adversa, pues los términos de la demanda demuestran que es</w:t>
      </w:r>
      <w:r w:rsidR="00E963AA">
        <w:rPr>
          <w:rFonts w:ascii="Arial" w:hAnsi="Arial" w:cs="Arial"/>
          <w:sz w:val="20"/>
          <w:szCs w:val="20"/>
        </w:rPr>
        <w:t xml:space="preserve"> </w:t>
      </w:r>
      <w:r w:rsidRPr="00806E87">
        <w:rPr>
          <w:rFonts w:ascii="Arial" w:hAnsi="Arial" w:cs="Arial"/>
          <w:sz w:val="20"/>
          <w:szCs w:val="20"/>
        </w:rPr>
        <w:t>la referida entidad autárquica la que integra la relación jurídica sustancial.</w:t>
      </w:r>
    </w:p>
    <w:p w14:paraId="5420B43A" w14:textId="74ACA949" w:rsidR="00806E87" w:rsidRDefault="00806E87" w:rsidP="00806E87">
      <w:pPr>
        <w:spacing w:line="360" w:lineRule="atLeast"/>
        <w:jc w:val="both"/>
        <w:rPr>
          <w:rFonts w:ascii="Arial" w:hAnsi="Arial" w:cs="Arial"/>
          <w:sz w:val="20"/>
          <w:szCs w:val="20"/>
        </w:rPr>
      </w:pPr>
      <w:r w:rsidRPr="00806E87">
        <w:rPr>
          <w:rFonts w:ascii="Arial" w:hAnsi="Arial" w:cs="Arial"/>
          <w:sz w:val="20"/>
          <w:szCs w:val="20"/>
        </w:rPr>
        <w:lastRenderedPageBreak/>
        <w:t>Esto último, determina que el caso resulte ajeno a la competencia</w:t>
      </w:r>
      <w:r w:rsidR="00E963AA">
        <w:rPr>
          <w:rFonts w:ascii="Arial" w:hAnsi="Arial" w:cs="Arial"/>
          <w:sz w:val="20"/>
          <w:szCs w:val="20"/>
        </w:rPr>
        <w:t xml:space="preserve"> </w:t>
      </w:r>
      <w:r w:rsidRPr="00806E87">
        <w:rPr>
          <w:rFonts w:ascii="Arial" w:hAnsi="Arial" w:cs="Arial"/>
          <w:sz w:val="20"/>
          <w:szCs w:val="20"/>
        </w:rPr>
        <w:t>originaria del Tribunal, reglada por el artículo 117 de la Constitución.</w:t>
      </w:r>
    </w:p>
    <w:p w14:paraId="2AC540C7" w14:textId="6E5588AC" w:rsidR="00373B73" w:rsidRPr="0047631C" w:rsidRDefault="00373B73" w:rsidP="00253FED">
      <w:pPr>
        <w:spacing w:line="360" w:lineRule="atLeast"/>
        <w:jc w:val="both"/>
        <w:rPr>
          <w:rFonts w:ascii="Arial" w:hAnsi="Arial" w:cs="Arial"/>
          <w:sz w:val="20"/>
          <w:szCs w:val="20"/>
        </w:rPr>
      </w:pPr>
    </w:p>
    <w:p w14:paraId="0485FF5F" w14:textId="1C034875" w:rsidR="001734BD" w:rsidRPr="00E34CC3" w:rsidRDefault="00373B73" w:rsidP="00786217">
      <w:pPr>
        <w:pStyle w:val="Prrafodelista"/>
        <w:numPr>
          <w:ilvl w:val="0"/>
          <w:numId w:val="4"/>
        </w:numPr>
        <w:spacing w:line="360" w:lineRule="atLeast"/>
        <w:jc w:val="both"/>
        <w:rPr>
          <w:rFonts w:ascii="Arial" w:hAnsi="Arial" w:cs="Arial"/>
          <w:sz w:val="20"/>
          <w:szCs w:val="20"/>
        </w:rPr>
      </w:pPr>
      <w:bookmarkStart w:id="0" w:name="_Hlk197969472"/>
      <w:r w:rsidRPr="00D32BD6">
        <w:rPr>
          <w:rFonts w:ascii="Arial" w:hAnsi="Arial" w:cs="Arial"/>
          <w:b/>
          <w:bCs/>
          <w:sz w:val="20"/>
          <w:szCs w:val="20"/>
        </w:rPr>
        <w:t xml:space="preserve">Corte Suprema de Justicia de la Nación. </w:t>
      </w:r>
      <w:bookmarkEnd w:id="0"/>
      <w:r w:rsidR="00E34CC3" w:rsidRPr="00E34CC3">
        <w:rPr>
          <w:rFonts w:ascii="Arial" w:hAnsi="Arial" w:cs="Arial"/>
          <w:b/>
          <w:bCs/>
          <w:sz w:val="20"/>
          <w:szCs w:val="20"/>
        </w:rPr>
        <w:t>“Cabal Cooperativa de Provisión de Servicios Limitada c/ Municipalidad de San Fernando del Valle de Catamarca s/ acción contencioso administrativa</w:t>
      </w:r>
      <w:r w:rsidR="00E34CC3">
        <w:rPr>
          <w:rFonts w:ascii="Arial" w:hAnsi="Arial" w:cs="Arial"/>
          <w:b/>
          <w:bCs/>
          <w:sz w:val="20"/>
          <w:szCs w:val="20"/>
        </w:rPr>
        <w:t>”. 21/08/2025.</w:t>
      </w:r>
    </w:p>
    <w:p w14:paraId="4925A93C" w14:textId="5D1AB6D9" w:rsidR="00EC7AF7" w:rsidRDefault="00EC7AF7" w:rsidP="00EC7AF7">
      <w:pPr>
        <w:spacing w:line="360" w:lineRule="atLeast"/>
        <w:jc w:val="both"/>
        <w:rPr>
          <w:rFonts w:ascii="Arial" w:hAnsi="Arial" w:cs="Arial"/>
          <w:sz w:val="20"/>
          <w:szCs w:val="20"/>
        </w:rPr>
      </w:pPr>
      <w:r>
        <w:rPr>
          <w:rFonts w:ascii="Arial" w:hAnsi="Arial" w:cs="Arial"/>
          <w:sz w:val="20"/>
          <w:szCs w:val="20"/>
        </w:rPr>
        <w:t>E</w:t>
      </w:r>
      <w:r w:rsidRPr="00EC7AF7">
        <w:rPr>
          <w:rFonts w:ascii="Arial" w:hAnsi="Arial" w:cs="Arial"/>
          <w:sz w:val="20"/>
          <w:szCs w:val="20"/>
        </w:rPr>
        <w:t>l recurso extraordinario, cuya denegación originó esta queja,</w:t>
      </w:r>
      <w:r>
        <w:rPr>
          <w:rFonts w:ascii="Arial" w:hAnsi="Arial" w:cs="Arial"/>
          <w:sz w:val="20"/>
          <w:szCs w:val="20"/>
        </w:rPr>
        <w:t xml:space="preserve"> </w:t>
      </w:r>
      <w:r w:rsidRPr="00EC7AF7">
        <w:rPr>
          <w:rFonts w:ascii="Arial" w:hAnsi="Arial" w:cs="Arial"/>
          <w:sz w:val="20"/>
          <w:szCs w:val="20"/>
        </w:rPr>
        <w:t>es inadmisible</w:t>
      </w:r>
      <w:r>
        <w:rPr>
          <w:rFonts w:ascii="Arial" w:hAnsi="Arial" w:cs="Arial"/>
          <w:sz w:val="20"/>
          <w:szCs w:val="20"/>
        </w:rPr>
        <w:t>.</w:t>
      </w:r>
    </w:p>
    <w:p w14:paraId="0504377E" w14:textId="5B2DF354" w:rsidR="00EC7AF7" w:rsidRDefault="00EC7AF7" w:rsidP="00EC7AF7">
      <w:pPr>
        <w:spacing w:line="360" w:lineRule="atLeast"/>
        <w:jc w:val="both"/>
        <w:rPr>
          <w:rFonts w:ascii="Arial" w:hAnsi="Arial" w:cs="Arial"/>
          <w:sz w:val="20"/>
          <w:szCs w:val="20"/>
        </w:rPr>
      </w:pPr>
      <w:r w:rsidRPr="00EC7AF7">
        <w:rPr>
          <w:rFonts w:ascii="Arial" w:hAnsi="Arial" w:cs="Arial"/>
          <w:sz w:val="20"/>
          <w:szCs w:val="20"/>
        </w:rPr>
        <w:t xml:space="preserve">Disidencia del juez </w:t>
      </w:r>
      <w:proofErr w:type="spellStart"/>
      <w:r w:rsidRPr="00EC7AF7">
        <w:rPr>
          <w:rFonts w:ascii="Arial" w:hAnsi="Arial" w:cs="Arial"/>
          <w:sz w:val="20"/>
          <w:szCs w:val="20"/>
        </w:rPr>
        <w:t>Rosenkrantz</w:t>
      </w:r>
      <w:proofErr w:type="spellEnd"/>
      <w:r>
        <w:rPr>
          <w:rFonts w:ascii="Arial" w:hAnsi="Arial" w:cs="Arial"/>
          <w:sz w:val="20"/>
          <w:szCs w:val="20"/>
        </w:rPr>
        <w:t xml:space="preserve">: </w:t>
      </w:r>
      <w:r w:rsidR="005B4AC4" w:rsidRPr="005B4AC4">
        <w:rPr>
          <w:rFonts w:ascii="Arial" w:hAnsi="Arial" w:cs="Arial"/>
          <w:sz w:val="20"/>
          <w:szCs w:val="20"/>
        </w:rPr>
        <w:t>Es arbitraria la sentencia que, con el argumento de la falta de agotamiento de la instancia administrativa, desestimó la acción contencioso-administrativa planteada a fin de cuestionar la constitucionalidad de la resolución municipal que determinó de oficio la obligación en concepto de derechos de publicidad y propaganda</w:t>
      </w:r>
      <w:r w:rsidR="005B4AC4">
        <w:rPr>
          <w:rFonts w:ascii="Arial" w:hAnsi="Arial" w:cs="Arial"/>
          <w:sz w:val="20"/>
          <w:szCs w:val="20"/>
        </w:rPr>
        <w:t xml:space="preserve">. </w:t>
      </w:r>
    </w:p>
    <w:p w14:paraId="704CE51F" w14:textId="3453E00A" w:rsidR="005B4AC4" w:rsidRPr="005B4AC4" w:rsidRDefault="005B4AC4" w:rsidP="005B4AC4">
      <w:pPr>
        <w:spacing w:line="360" w:lineRule="atLeast"/>
        <w:jc w:val="both"/>
        <w:rPr>
          <w:rFonts w:ascii="Arial" w:hAnsi="Arial" w:cs="Arial"/>
          <w:sz w:val="20"/>
          <w:szCs w:val="20"/>
        </w:rPr>
      </w:pPr>
      <w:r>
        <w:rPr>
          <w:rFonts w:ascii="Arial" w:hAnsi="Arial" w:cs="Arial"/>
          <w:sz w:val="20"/>
          <w:szCs w:val="20"/>
        </w:rPr>
        <w:t>S</w:t>
      </w:r>
      <w:r w:rsidRPr="005B4AC4">
        <w:rPr>
          <w:rFonts w:ascii="Arial" w:hAnsi="Arial" w:cs="Arial"/>
          <w:sz w:val="20"/>
          <w:szCs w:val="20"/>
        </w:rPr>
        <w:t>i bien las decisiones de índole procesal y de derecho</w:t>
      </w:r>
      <w:r>
        <w:rPr>
          <w:rFonts w:ascii="Arial" w:hAnsi="Arial" w:cs="Arial"/>
          <w:sz w:val="20"/>
          <w:szCs w:val="20"/>
        </w:rPr>
        <w:t xml:space="preserve"> </w:t>
      </w:r>
      <w:r w:rsidRPr="005B4AC4">
        <w:rPr>
          <w:rFonts w:ascii="Arial" w:hAnsi="Arial" w:cs="Arial"/>
          <w:sz w:val="20"/>
          <w:szCs w:val="20"/>
        </w:rPr>
        <w:t>local resultan, en principio, ajenas a la instancia extraordinaria en virtud del</w:t>
      </w:r>
      <w:r>
        <w:rPr>
          <w:rFonts w:ascii="Arial" w:hAnsi="Arial" w:cs="Arial"/>
          <w:sz w:val="20"/>
          <w:szCs w:val="20"/>
        </w:rPr>
        <w:t xml:space="preserve"> </w:t>
      </w:r>
      <w:r w:rsidRPr="005B4AC4">
        <w:rPr>
          <w:rFonts w:ascii="Arial" w:hAnsi="Arial" w:cs="Arial"/>
          <w:sz w:val="20"/>
          <w:szCs w:val="20"/>
        </w:rPr>
        <w:t>respeto debido a las atribuciones de las provincias de darse sus propias</w:t>
      </w:r>
      <w:r>
        <w:rPr>
          <w:rFonts w:ascii="Arial" w:hAnsi="Arial" w:cs="Arial"/>
          <w:sz w:val="20"/>
          <w:szCs w:val="20"/>
        </w:rPr>
        <w:t xml:space="preserve"> </w:t>
      </w:r>
      <w:r w:rsidRPr="005B4AC4">
        <w:rPr>
          <w:rFonts w:ascii="Arial" w:hAnsi="Arial" w:cs="Arial"/>
          <w:sz w:val="20"/>
          <w:szCs w:val="20"/>
        </w:rPr>
        <w:t>instituciones y regirse por ellas (Fallos: 305:112; 313:548; 324:2672, entre</w:t>
      </w:r>
      <w:r>
        <w:rPr>
          <w:rFonts w:ascii="Arial" w:hAnsi="Arial" w:cs="Arial"/>
          <w:sz w:val="20"/>
          <w:szCs w:val="20"/>
        </w:rPr>
        <w:t xml:space="preserve"> </w:t>
      </w:r>
      <w:r w:rsidRPr="005B4AC4">
        <w:rPr>
          <w:rFonts w:ascii="Arial" w:hAnsi="Arial" w:cs="Arial"/>
          <w:sz w:val="20"/>
          <w:szCs w:val="20"/>
        </w:rPr>
        <w:t>otros), en el caso cabe hacer excepción a dicha regla pues la sentencia</w:t>
      </w:r>
      <w:r>
        <w:rPr>
          <w:rFonts w:ascii="Arial" w:hAnsi="Arial" w:cs="Arial"/>
          <w:sz w:val="20"/>
          <w:szCs w:val="20"/>
        </w:rPr>
        <w:t xml:space="preserve"> </w:t>
      </w:r>
      <w:r w:rsidRPr="005B4AC4">
        <w:rPr>
          <w:rFonts w:ascii="Arial" w:hAnsi="Arial" w:cs="Arial"/>
          <w:sz w:val="20"/>
          <w:szCs w:val="20"/>
        </w:rPr>
        <w:t>impugnada incurre en un injustificado rigor formal que atenta contra la garantía</w:t>
      </w:r>
      <w:r>
        <w:rPr>
          <w:rFonts w:ascii="Arial" w:hAnsi="Arial" w:cs="Arial"/>
          <w:sz w:val="20"/>
          <w:szCs w:val="20"/>
        </w:rPr>
        <w:t xml:space="preserve"> </w:t>
      </w:r>
      <w:r w:rsidRPr="005B4AC4">
        <w:rPr>
          <w:rFonts w:ascii="Arial" w:hAnsi="Arial" w:cs="Arial"/>
          <w:sz w:val="20"/>
          <w:szCs w:val="20"/>
        </w:rPr>
        <w:t>de defensa en juicio consagrada por el art. 18 de la Constitución Nacional</w:t>
      </w:r>
      <w:r>
        <w:rPr>
          <w:rFonts w:ascii="Arial" w:hAnsi="Arial" w:cs="Arial"/>
          <w:sz w:val="20"/>
          <w:szCs w:val="20"/>
        </w:rPr>
        <w:t xml:space="preserve"> </w:t>
      </w:r>
      <w:r w:rsidRPr="005B4AC4">
        <w:rPr>
          <w:rFonts w:ascii="Arial" w:hAnsi="Arial" w:cs="Arial"/>
          <w:sz w:val="20"/>
          <w:szCs w:val="20"/>
        </w:rPr>
        <w:t>(Fallos: 315:2690; 323:1084, entre otros).</w:t>
      </w:r>
    </w:p>
    <w:p w14:paraId="5FEC48D0" w14:textId="34A679B0" w:rsidR="00EC7AF7" w:rsidRDefault="005B4AC4" w:rsidP="005B4AC4">
      <w:pPr>
        <w:spacing w:line="360" w:lineRule="atLeast"/>
        <w:jc w:val="both"/>
        <w:rPr>
          <w:rFonts w:ascii="Arial" w:hAnsi="Arial" w:cs="Arial"/>
          <w:sz w:val="20"/>
          <w:szCs w:val="20"/>
        </w:rPr>
      </w:pPr>
      <w:r w:rsidRPr="005B4AC4">
        <w:rPr>
          <w:rFonts w:ascii="Arial" w:hAnsi="Arial" w:cs="Arial"/>
          <w:sz w:val="20"/>
          <w:szCs w:val="20"/>
        </w:rPr>
        <w:t>Por otro lado, cabe destacar que la decisión cuestionada es</w:t>
      </w:r>
      <w:r>
        <w:rPr>
          <w:rFonts w:ascii="Arial" w:hAnsi="Arial" w:cs="Arial"/>
          <w:sz w:val="20"/>
          <w:szCs w:val="20"/>
        </w:rPr>
        <w:t xml:space="preserve"> </w:t>
      </w:r>
      <w:r w:rsidRPr="005B4AC4">
        <w:rPr>
          <w:rFonts w:ascii="Arial" w:hAnsi="Arial" w:cs="Arial"/>
          <w:sz w:val="20"/>
          <w:szCs w:val="20"/>
        </w:rPr>
        <w:t>asimilable a definitiva en tanto clausura toda posibilidad de debate ulterior</w:t>
      </w:r>
      <w:r>
        <w:rPr>
          <w:rFonts w:ascii="Arial" w:hAnsi="Arial" w:cs="Arial"/>
          <w:sz w:val="20"/>
          <w:szCs w:val="20"/>
        </w:rPr>
        <w:t xml:space="preserve"> </w:t>
      </w:r>
      <w:r w:rsidRPr="005B4AC4">
        <w:rPr>
          <w:rFonts w:ascii="Arial" w:hAnsi="Arial" w:cs="Arial"/>
          <w:sz w:val="20"/>
          <w:szCs w:val="20"/>
        </w:rPr>
        <w:t>acerca de la validez del obrar administrativo impugnado por la actora (</w:t>
      </w:r>
      <w:proofErr w:type="spellStart"/>
      <w:proofErr w:type="gramStart"/>
      <w:r w:rsidRPr="005B4AC4">
        <w:rPr>
          <w:rFonts w:ascii="Arial" w:hAnsi="Arial" w:cs="Arial"/>
          <w:sz w:val="20"/>
          <w:szCs w:val="20"/>
        </w:rPr>
        <w:t>conf.doctrina</w:t>
      </w:r>
      <w:proofErr w:type="spellEnd"/>
      <w:proofErr w:type="gramEnd"/>
      <w:r w:rsidRPr="005B4AC4">
        <w:rPr>
          <w:rFonts w:ascii="Arial" w:hAnsi="Arial" w:cs="Arial"/>
          <w:sz w:val="20"/>
          <w:szCs w:val="20"/>
        </w:rPr>
        <w:t xml:space="preserve"> de Fallos: 323:1919, entre otros).</w:t>
      </w:r>
    </w:p>
    <w:p w14:paraId="64612323" w14:textId="77777777" w:rsidR="00BA675B" w:rsidRDefault="00BA675B" w:rsidP="005B4AC4">
      <w:pPr>
        <w:spacing w:line="360" w:lineRule="atLeast"/>
        <w:jc w:val="both"/>
        <w:rPr>
          <w:rFonts w:ascii="Arial" w:hAnsi="Arial" w:cs="Arial"/>
          <w:sz w:val="20"/>
          <w:szCs w:val="20"/>
        </w:rPr>
      </w:pPr>
    </w:p>
    <w:p w14:paraId="0D4778E0" w14:textId="65A2FFDF" w:rsidR="006D5FFD" w:rsidRPr="00EC7AF7" w:rsidRDefault="006D5FFD" w:rsidP="00EC7AF7">
      <w:pPr>
        <w:pStyle w:val="Prrafodelista"/>
        <w:numPr>
          <w:ilvl w:val="0"/>
          <w:numId w:val="4"/>
        </w:numPr>
        <w:spacing w:line="360" w:lineRule="atLeast"/>
        <w:jc w:val="both"/>
        <w:rPr>
          <w:rFonts w:ascii="Arial" w:hAnsi="Arial" w:cs="Arial"/>
          <w:b/>
          <w:bCs/>
          <w:sz w:val="20"/>
          <w:szCs w:val="20"/>
        </w:rPr>
      </w:pPr>
      <w:r w:rsidRPr="00EC7AF7">
        <w:rPr>
          <w:rFonts w:ascii="Arial" w:hAnsi="Arial" w:cs="Arial"/>
          <w:b/>
          <w:bCs/>
          <w:sz w:val="20"/>
          <w:szCs w:val="20"/>
        </w:rPr>
        <w:t>Corte Suprema de Justicia de la Nación. Toyota Argentina SA c/ Córdoba, Provincia de s/ acción declarativa de certeza”. 21/08/2025</w:t>
      </w:r>
      <w:r w:rsidR="00E963AA" w:rsidRPr="00EC7AF7">
        <w:rPr>
          <w:rFonts w:ascii="Arial" w:hAnsi="Arial" w:cs="Arial"/>
          <w:b/>
          <w:bCs/>
          <w:sz w:val="20"/>
          <w:szCs w:val="20"/>
        </w:rPr>
        <w:t>.</w:t>
      </w:r>
      <w:r w:rsidR="00E963AA" w:rsidRPr="00E963AA">
        <w:t xml:space="preserve"> </w:t>
      </w:r>
      <w:r w:rsidR="00E963AA" w:rsidRPr="00EC7AF7">
        <w:rPr>
          <w:rFonts w:ascii="Arial" w:hAnsi="Arial" w:cs="Arial"/>
          <w:b/>
          <w:bCs/>
          <w:sz w:val="20"/>
          <w:szCs w:val="20"/>
        </w:rPr>
        <w:t>Rechazar la excepción de cosa juzgada</w:t>
      </w:r>
    </w:p>
    <w:p w14:paraId="53E86D47" w14:textId="77777777" w:rsidR="00E963AA" w:rsidRDefault="00E963AA" w:rsidP="00E963AA">
      <w:pPr>
        <w:spacing w:line="360" w:lineRule="atLeast"/>
        <w:jc w:val="both"/>
        <w:rPr>
          <w:rFonts w:ascii="Arial" w:hAnsi="Arial" w:cs="Arial"/>
          <w:sz w:val="20"/>
          <w:szCs w:val="20"/>
        </w:rPr>
      </w:pPr>
      <w:r>
        <w:rPr>
          <w:rFonts w:ascii="Arial" w:hAnsi="Arial" w:cs="Arial"/>
          <w:sz w:val="20"/>
          <w:szCs w:val="20"/>
        </w:rPr>
        <w:t>L</w:t>
      </w:r>
      <w:r w:rsidRPr="00E963AA">
        <w:rPr>
          <w:rFonts w:ascii="Arial" w:hAnsi="Arial" w:cs="Arial"/>
          <w:sz w:val="20"/>
          <w:szCs w:val="20"/>
        </w:rPr>
        <w:t>a Provincia de Córdoba, opone excepción de cosa juzgada, con</w:t>
      </w:r>
      <w:r>
        <w:rPr>
          <w:rFonts w:ascii="Arial" w:hAnsi="Arial" w:cs="Arial"/>
          <w:sz w:val="20"/>
          <w:szCs w:val="20"/>
        </w:rPr>
        <w:t xml:space="preserve"> </w:t>
      </w:r>
      <w:r w:rsidRPr="00E963AA">
        <w:rPr>
          <w:rFonts w:ascii="Arial" w:hAnsi="Arial" w:cs="Arial"/>
          <w:sz w:val="20"/>
          <w:szCs w:val="20"/>
        </w:rPr>
        <w:t>fundamento en que el presente reclamo ha sido debatido y resuelto por el</w:t>
      </w:r>
      <w:r>
        <w:rPr>
          <w:rFonts w:ascii="Arial" w:hAnsi="Arial" w:cs="Arial"/>
          <w:sz w:val="20"/>
          <w:szCs w:val="20"/>
        </w:rPr>
        <w:t xml:space="preserve"> </w:t>
      </w:r>
      <w:r w:rsidRPr="00E963AA">
        <w:rPr>
          <w:rFonts w:ascii="Arial" w:hAnsi="Arial" w:cs="Arial"/>
          <w:sz w:val="20"/>
          <w:szCs w:val="20"/>
        </w:rPr>
        <w:t>Tribunal Superior de Justicia de la Provincia de Córdoba en el expediente</w:t>
      </w:r>
      <w:r>
        <w:rPr>
          <w:rFonts w:ascii="Arial" w:hAnsi="Arial" w:cs="Arial"/>
          <w:sz w:val="20"/>
          <w:szCs w:val="20"/>
        </w:rPr>
        <w:t xml:space="preserve"> </w:t>
      </w:r>
      <w:r w:rsidRPr="00E963AA">
        <w:rPr>
          <w:rFonts w:ascii="Arial" w:hAnsi="Arial" w:cs="Arial"/>
          <w:sz w:val="20"/>
          <w:szCs w:val="20"/>
        </w:rPr>
        <w:t>caratulado “Toyota Argentina SA c/ Superior Gobierno de la Provincia de</w:t>
      </w:r>
      <w:r>
        <w:rPr>
          <w:rFonts w:ascii="Arial" w:hAnsi="Arial" w:cs="Arial"/>
          <w:sz w:val="20"/>
          <w:szCs w:val="20"/>
        </w:rPr>
        <w:t xml:space="preserve"> </w:t>
      </w:r>
      <w:r w:rsidRPr="00E963AA">
        <w:rPr>
          <w:rFonts w:ascii="Arial" w:hAnsi="Arial" w:cs="Arial"/>
          <w:sz w:val="20"/>
          <w:szCs w:val="20"/>
        </w:rPr>
        <w:t>Córdoba (DGR) – Plena Jurisdicción – Recurso de Apelación” (</w:t>
      </w:r>
      <w:proofErr w:type="spellStart"/>
      <w:r w:rsidRPr="00E963AA">
        <w:rPr>
          <w:rFonts w:ascii="Arial" w:hAnsi="Arial" w:cs="Arial"/>
          <w:sz w:val="20"/>
          <w:szCs w:val="20"/>
        </w:rPr>
        <w:t>Expte</w:t>
      </w:r>
      <w:proofErr w:type="spellEnd"/>
      <w:r w:rsidRPr="00E963AA">
        <w:rPr>
          <w:rFonts w:ascii="Arial" w:hAnsi="Arial" w:cs="Arial"/>
          <w:sz w:val="20"/>
          <w:szCs w:val="20"/>
        </w:rPr>
        <w:t>. Letra</w:t>
      </w:r>
      <w:r>
        <w:rPr>
          <w:rFonts w:ascii="Arial" w:hAnsi="Arial" w:cs="Arial"/>
          <w:sz w:val="20"/>
          <w:szCs w:val="20"/>
        </w:rPr>
        <w:t xml:space="preserve"> </w:t>
      </w:r>
      <w:r w:rsidRPr="00E963AA">
        <w:rPr>
          <w:rFonts w:ascii="Arial" w:hAnsi="Arial" w:cs="Arial"/>
          <w:sz w:val="20"/>
          <w:szCs w:val="20"/>
        </w:rPr>
        <w:t xml:space="preserve">“T” </w:t>
      </w:r>
      <w:proofErr w:type="spellStart"/>
      <w:r w:rsidRPr="00E963AA">
        <w:rPr>
          <w:rFonts w:ascii="Arial" w:hAnsi="Arial" w:cs="Arial"/>
          <w:sz w:val="20"/>
          <w:szCs w:val="20"/>
        </w:rPr>
        <w:t>n°</w:t>
      </w:r>
      <w:proofErr w:type="spellEnd"/>
      <w:r w:rsidRPr="00E963AA">
        <w:rPr>
          <w:rFonts w:ascii="Arial" w:hAnsi="Arial" w:cs="Arial"/>
          <w:sz w:val="20"/>
          <w:szCs w:val="20"/>
        </w:rPr>
        <w:t xml:space="preserve"> 3), sentencia </w:t>
      </w:r>
      <w:proofErr w:type="spellStart"/>
      <w:r w:rsidRPr="00E963AA">
        <w:rPr>
          <w:rFonts w:ascii="Arial" w:hAnsi="Arial" w:cs="Arial"/>
          <w:sz w:val="20"/>
          <w:szCs w:val="20"/>
        </w:rPr>
        <w:t>n°</w:t>
      </w:r>
      <w:proofErr w:type="spellEnd"/>
      <w:r w:rsidRPr="00E963AA">
        <w:rPr>
          <w:rFonts w:ascii="Arial" w:hAnsi="Arial" w:cs="Arial"/>
          <w:sz w:val="20"/>
          <w:szCs w:val="20"/>
        </w:rPr>
        <w:t xml:space="preserve"> 103 del 13 de octubre de 2009. </w:t>
      </w:r>
    </w:p>
    <w:p w14:paraId="5950B83B" w14:textId="3DDEAC95" w:rsidR="00E963AA" w:rsidRPr="00E963AA" w:rsidRDefault="00E963AA" w:rsidP="00E963AA">
      <w:pPr>
        <w:spacing w:line="360" w:lineRule="atLeast"/>
        <w:jc w:val="both"/>
        <w:rPr>
          <w:rFonts w:ascii="Arial" w:hAnsi="Arial" w:cs="Arial"/>
          <w:sz w:val="20"/>
          <w:szCs w:val="20"/>
        </w:rPr>
      </w:pPr>
      <w:r>
        <w:rPr>
          <w:rFonts w:ascii="Arial" w:hAnsi="Arial" w:cs="Arial"/>
          <w:sz w:val="20"/>
          <w:szCs w:val="20"/>
        </w:rPr>
        <w:t>El Máximo Tribunal, d</w:t>
      </w:r>
      <w:r w:rsidRPr="00E963AA">
        <w:rPr>
          <w:rFonts w:ascii="Arial" w:hAnsi="Arial" w:cs="Arial"/>
          <w:sz w:val="20"/>
          <w:szCs w:val="20"/>
        </w:rPr>
        <w:t>el examen de las constancias acompañadas</w:t>
      </w:r>
      <w:r>
        <w:rPr>
          <w:rFonts w:ascii="Arial" w:hAnsi="Arial" w:cs="Arial"/>
          <w:sz w:val="20"/>
          <w:szCs w:val="20"/>
        </w:rPr>
        <w:t xml:space="preserve"> </w:t>
      </w:r>
      <w:r w:rsidR="00EC7AF7">
        <w:rPr>
          <w:rFonts w:ascii="Arial" w:hAnsi="Arial" w:cs="Arial"/>
          <w:sz w:val="20"/>
          <w:szCs w:val="20"/>
        </w:rPr>
        <w:t>entiende</w:t>
      </w:r>
      <w:r w:rsidRPr="00E963AA">
        <w:rPr>
          <w:rFonts w:ascii="Arial" w:hAnsi="Arial" w:cs="Arial"/>
          <w:sz w:val="20"/>
          <w:szCs w:val="20"/>
        </w:rPr>
        <w:t xml:space="preserve"> que si</w:t>
      </w:r>
      <w:r>
        <w:rPr>
          <w:rFonts w:ascii="Arial" w:hAnsi="Arial" w:cs="Arial"/>
          <w:sz w:val="20"/>
          <w:szCs w:val="20"/>
        </w:rPr>
        <w:t xml:space="preserve"> </w:t>
      </w:r>
      <w:r w:rsidRPr="00E963AA">
        <w:rPr>
          <w:rFonts w:ascii="Arial" w:hAnsi="Arial" w:cs="Arial"/>
          <w:sz w:val="20"/>
          <w:szCs w:val="20"/>
        </w:rPr>
        <w:t>bien se trata de las mismas partes, allí se discutió acerca de la legitimidad de la</w:t>
      </w:r>
      <w:r w:rsidR="00EC7AF7">
        <w:rPr>
          <w:rFonts w:ascii="Arial" w:hAnsi="Arial" w:cs="Arial"/>
          <w:sz w:val="20"/>
          <w:szCs w:val="20"/>
        </w:rPr>
        <w:t xml:space="preserve"> </w:t>
      </w:r>
      <w:r w:rsidRPr="00E963AA">
        <w:rPr>
          <w:rFonts w:ascii="Arial" w:hAnsi="Arial" w:cs="Arial"/>
          <w:sz w:val="20"/>
          <w:szCs w:val="20"/>
        </w:rPr>
        <w:t>pretensión fiscal por deuda por impuesto a los ingresos brutos plasmada en la</w:t>
      </w:r>
      <w:r w:rsidR="00EC7AF7">
        <w:rPr>
          <w:rFonts w:ascii="Arial" w:hAnsi="Arial" w:cs="Arial"/>
          <w:sz w:val="20"/>
          <w:szCs w:val="20"/>
        </w:rPr>
        <w:t xml:space="preserve"> </w:t>
      </w:r>
      <w:r w:rsidRPr="00E963AA">
        <w:rPr>
          <w:rFonts w:ascii="Arial" w:hAnsi="Arial" w:cs="Arial"/>
          <w:sz w:val="20"/>
          <w:szCs w:val="20"/>
        </w:rPr>
        <w:t xml:space="preserve">resolución determinativa </w:t>
      </w:r>
      <w:proofErr w:type="spellStart"/>
      <w:r w:rsidRPr="00E963AA">
        <w:rPr>
          <w:rFonts w:ascii="Arial" w:hAnsi="Arial" w:cs="Arial"/>
          <w:sz w:val="20"/>
          <w:szCs w:val="20"/>
        </w:rPr>
        <w:t>n°</w:t>
      </w:r>
      <w:proofErr w:type="spellEnd"/>
      <w:r w:rsidRPr="00E963AA">
        <w:rPr>
          <w:rFonts w:ascii="Arial" w:hAnsi="Arial" w:cs="Arial"/>
          <w:sz w:val="20"/>
          <w:szCs w:val="20"/>
        </w:rPr>
        <w:t xml:space="preserve"> PFD 121 de fecha 26 de julio de 2005 en base</w:t>
      </w:r>
      <w:r w:rsidR="00EC7AF7">
        <w:rPr>
          <w:rFonts w:ascii="Arial" w:hAnsi="Arial" w:cs="Arial"/>
          <w:sz w:val="20"/>
          <w:szCs w:val="20"/>
        </w:rPr>
        <w:t xml:space="preserve"> </w:t>
      </w:r>
      <w:r w:rsidRPr="00E963AA">
        <w:rPr>
          <w:rFonts w:ascii="Arial" w:hAnsi="Arial" w:cs="Arial"/>
          <w:sz w:val="20"/>
          <w:szCs w:val="20"/>
        </w:rPr>
        <w:t>al vínculo contractual que une a la empresa actora con los concesionarios y</w:t>
      </w:r>
      <w:r w:rsidR="00EC7AF7">
        <w:rPr>
          <w:rFonts w:ascii="Arial" w:hAnsi="Arial" w:cs="Arial"/>
          <w:sz w:val="20"/>
          <w:szCs w:val="20"/>
        </w:rPr>
        <w:t xml:space="preserve"> </w:t>
      </w:r>
      <w:r w:rsidRPr="00E963AA">
        <w:rPr>
          <w:rFonts w:ascii="Arial" w:hAnsi="Arial" w:cs="Arial"/>
          <w:sz w:val="20"/>
          <w:szCs w:val="20"/>
        </w:rPr>
        <w:t>a la</w:t>
      </w:r>
      <w:r w:rsidR="00EC7AF7">
        <w:rPr>
          <w:rFonts w:ascii="Arial" w:hAnsi="Arial" w:cs="Arial"/>
          <w:sz w:val="20"/>
          <w:szCs w:val="20"/>
        </w:rPr>
        <w:t xml:space="preserve"> </w:t>
      </w:r>
      <w:r w:rsidRPr="00E963AA">
        <w:rPr>
          <w:rFonts w:ascii="Arial" w:hAnsi="Arial" w:cs="Arial"/>
          <w:sz w:val="20"/>
          <w:szCs w:val="20"/>
        </w:rPr>
        <w:t>exención prevista por el Pacto Federal para el Empleo, la Producción y el</w:t>
      </w:r>
      <w:r w:rsidR="00EC7AF7">
        <w:rPr>
          <w:rFonts w:ascii="Arial" w:hAnsi="Arial" w:cs="Arial"/>
          <w:sz w:val="20"/>
          <w:szCs w:val="20"/>
        </w:rPr>
        <w:t xml:space="preserve"> </w:t>
      </w:r>
      <w:r w:rsidRPr="00E963AA">
        <w:rPr>
          <w:rFonts w:ascii="Arial" w:hAnsi="Arial" w:cs="Arial"/>
          <w:sz w:val="20"/>
          <w:szCs w:val="20"/>
        </w:rPr>
        <w:t>Crecimiento, todo ello con relación a los períodos fiscales correspondientes a los</w:t>
      </w:r>
      <w:r w:rsidR="00EC7AF7">
        <w:rPr>
          <w:rFonts w:ascii="Arial" w:hAnsi="Arial" w:cs="Arial"/>
          <w:sz w:val="20"/>
          <w:szCs w:val="20"/>
        </w:rPr>
        <w:t xml:space="preserve"> </w:t>
      </w:r>
      <w:r w:rsidRPr="00E963AA">
        <w:rPr>
          <w:rFonts w:ascii="Arial" w:hAnsi="Arial" w:cs="Arial"/>
          <w:sz w:val="20"/>
          <w:szCs w:val="20"/>
        </w:rPr>
        <w:t>meses de enero de 1997 a noviembre de 2002.</w:t>
      </w:r>
    </w:p>
    <w:p w14:paraId="4EF5FA83" w14:textId="1C8FDE79" w:rsidR="006D5FFD" w:rsidRDefault="00E963AA" w:rsidP="00E963AA">
      <w:pPr>
        <w:spacing w:line="360" w:lineRule="atLeast"/>
        <w:jc w:val="both"/>
        <w:rPr>
          <w:rFonts w:ascii="Arial" w:hAnsi="Arial" w:cs="Arial"/>
          <w:sz w:val="20"/>
          <w:szCs w:val="20"/>
        </w:rPr>
      </w:pPr>
      <w:r w:rsidRPr="00E963AA">
        <w:rPr>
          <w:rFonts w:ascii="Arial" w:hAnsi="Arial" w:cs="Arial"/>
          <w:sz w:val="20"/>
          <w:szCs w:val="20"/>
        </w:rPr>
        <w:lastRenderedPageBreak/>
        <w:t>Por su lado, por medio de la demanda promovida ante este</w:t>
      </w:r>
      <w:r w:rsidR="00EC7AF7">
        <w:rPr>
          <w:rFonts w:ascii="Arial" w:hAnsi="Arial" w:cs="Arial"/>
          <w:sz w:val="20"/>
          <w:szCs w:val="20"/>
        </w:rPr>
        <w:t xml:space="preserve"> </w:t>
      </w:r>
      <w:r w:rsidRPr="00E963AA">
        <w:rPr>
          <w:rFonts w:ascii="Arial" w:hAnsi="Arial" w:cs="Arial"/>
          <w:sz w:val="20"/>
          <w:szCs w:val="20"/>
        </w:rPr>
        <w:t>Tribunal se pretende hacer cesar el estado de incertidumbre que el actor alega a</w:t>
      </w:r>
      <w:r w:rsidR="00EC7AF7">
        <w:rPr>
          <w:rFonts w:ascii="Arial" w:hAnsi="Arial" w:cs="Arial"/>
          <w:sz w:val="20"/>
          <w:szCs w:val="20"/>
        </w:rPr>
        <w:t xml:space="preserve"> </w:t>
      </w:r>
      <w:r w:rsidRPr="00E963AA">
        <w:rPr>
          <w:rFonts w:ascii="Arial" w:hAnsi="Arial" w:cs="Arial"/>
          <w:sz w:val="20"/>
          <w:szCs w:val="20"/>
        </w:rPr>
        <w:t>causa de la pretensión de la Provincia de Córdoba de someter a una alícuota</w:t>
      </w:r>
      <w:r w:rsidR="00EC7AF7">
        <w:rPr>
          <w:rFonts w:ascii="Arial" w:hAnsi="Arial" w:cs="Arial"/>
          <w:sz w:val="20"/>
          <w:szCs w:val="20"/>
        </w:rPr>
        <w:t xml:space="preserve"> </w:t>
      </w:r>
      <w:r w:rsidRPr="00E963AA">
        <w:rPr>
          <w:rFonts w:ascii="Arial" w:hAnsi="Arial" w:cs="Arial"/>
          <w:sz w:val="20"/>
          <w:szCs w:val="20"/>
        </w:rPr>
        <w:t>diferencial por impuesto sobre los ingresos brutos a la actividad de fabricación</w:t>
      </w:r>
      <w:r w:rsidR="00EC7AF7">
        <w:rPr>
          <w:rFonts w:ascii="Arial" w:hAnsi="Arial" w:cs="Arial"/>
          <w:sz w:val="20"/>
          <w:szCs w:val="20"/>
        </w:rPr>
        <w:t xml:space="preserve"> </w:t>
      </w:r>
      <w:r w:rsidRPr="00E963AA">
        <w:rPr>
          <w:rFonts w:ascii="Arial" w:hAnsi="Arial" w:cs="Arial"/>
          <w:sz w:val="20"/>
          <w:szCs w:val="20"/>
        </w:rPr>
        <w:t>de vehículos automotores fuera de su territorio, conforme lo dispuesto en los</w:t>
      </w:r>
      <w:r w:rsidR="00EC7AF7">
        <w:rPr>
          <w:rFonts w:ascii="Arial" w:hAnsi="Arial" w:cs="Arial"/>
          <w:sz w:val="20"/>
          <w:szCs w:val="20"/>
        </w:rPr>
        <w:t xml:space="preserve"> </w:t>
      </w:r>
      <w:r w:rsidRPr="00E963AA">
        <w:rPr>
          <w:rFonts w:ascii="Arial" w:hAnsi="Arial" w:cs="Arial"/>
          <w:sz w:val="20"/>
          <w:szCs w:val="20"/>
        </w:rPr>
        <w:t>artículos 16, 17 y 22 de la ley local 10.324 cuya declaración de</w:t>
      </w:r>
      <w:r w:rsidR="00EC7AF7">
        <w:rPr>
          <w:rFonts w:ascii="Arial" w:hAnsi="Arial" w:cs="Arial"/>
          <w:sz w:val="20"/>
          <w:szCs w:val="20"/>
        </w:rPr>
        <w:t xml:space="preserve"> </w:t>
      </w:r>
      <w:r w:rsidRPr="00E963AA">
        <w:rPr>
          <w:rFonts w:ascii="Arial" w:hAnsi="Arial" w:cs="Arial"/>
          <w:sz w:val="20"/>
          <w:szCs w:val="20"/>
        </w:rPr>
        <w:t>inconstitucionalidad solicita, por el período fiscal correspondiente a los meses</w:t>
      </w:r>
      <w:r w:rsidR="00EC7AF7">
        <w:rPr>
          <w:rFonts w:ascii="Arial" w:hAnsi="Arial" w:cs="Arial"/>
          <w:sz w:val="20"/>
          <w:szCs w:val="20"/>
        </w:rPr>
        <w:t xml:space="preserve"> </w:t>
      </w:r>
      <w:r w:rsidRPr="00E963AA">
        <w:rPr>
          <w:rFonts w:ascii="Arial" w:hAnsi="Arial" w:cs="Arial"/>
          <w:sz w:val="20"/>
          <w:szCs w:val="20"/>
        </w:rPr>
        <w:t>de septiembre de 2016 a enero de 2017</w:t>
      </w:r>
      <w:r w:rsidR="00EC7AF7">
        <w:rPr>
          <w:rFonts w:ascii="Arial" w:hAnsi="Arial" w:cs="Arial"/>
          <w:sz w:val="20"/>
          <w:szCs w:val="20"/>
        </w:rPr>
        <w:t>.</w:t>
      </w:r>
    </w:p>
    <w:p w14:paraId="464056A9" w14:textId="77777777" w:rsidR="00BA675B" w:rsidRPr="006D5FFD" w:rsidRDefault="00BA675B" w:rsidP="00E963AA">
      <w:pPr>
        <w:spacing w:line="360" w:lineRule="atLeast"/>
        <w:jc w:val="both"/>
        <w:rPr>
          <w:rFonts w:ascii="Arial" w:hAnsi="Arial" w:cs="Arial"/>
          <w:sz w:val="20"/>
          <w:szCs w:val="20"/>
        </w:rPr>
      </w:pPr>
    </w:p>
    <w:p w14:paraId="2CF01542" w14:textId="5FF8DC84" w:rsidR="00350FCE" w:rsidRPr="00036FD9" w:rsidRDefault="00350FCE" w:rsidP="006810C7">
      <w:pPr>
        <w:pStyle w:val="Prrafodelista"/>
        <w:numPr>
          <w:ilvl w:val="0"/>
          <w:numId w:val="4"/>
        </w:numPr>
        <w:spacing w:line="360" w:lineRule="atLeast"/>
        <w:jc w:val="both"/>
        <w:rPr>
          <w:rFonts w:ascii="Arial" w:hAnsi="Arial" w:cs="Arial"/>
          <w:sz w:val="20"/>
          <w:szCs w:val="20"/>
        </w:rPr>
      </w:pPr>
      <w:r w:rsidRPr="00350FCE">
        <w:rPr>
          <w:rFonts w:ascii="Arial" w:hAnsi="Arial" w:cs="Arial"/>
          <w:b/>
          <w:bCs/>
          <w:sz w:val="20"/>
          <w:szCs w:val="20"/>
        </w:rPr>
        <w:t>Corte Suprema de Justicia de la Nación. “</w:t>
      </w:r>
      <w:proofErr w:type="spellStart"/>
      <w:r w:rsidRPr="00350FCE">
        <w:rPr>
          <w:rFonts w:ascii="Arial" w:hAnsi="Arial" w:cs="Arial"/>
          <w:b/>
          <w:bCs/>
          <w:sz w:val="20"/>
          <w:szCs w:val="20"/>
        </w:rPr>
        <w:t>Siderar</w:t>
      </w:r>
      <w:proofErr w:type="spellEnd"/>
      <w:r w:rsidRPr="00350FCE">
        <w:rPr>
          <w:rFonts w:ascii="Arial" w:hAnsi="Arial" w:cs="Arial"/>
          <w:b/>
          <w:bCs/>
          <w:sz w:val="20"/>
          <w:szCs w:val="20"/>
        </w:rPr>
        <w:t xml:space="preserve"> S.A. c/ Santiago del Estero, Provincia de s/ acción declarativa de inconstitucionalidad</w:t>
      </w:r>
      <w:r w:rsidR="00036FD9">
        <w:rPr>
          <w:rFonts w:ascii="Arial" w:hAnsi="Arial" w:cs="Arial"/>
          <w:b/>
          <w:bCs/>
          <w:sz w:val="20"/>
          <w:szCs w:val="20"/>
        </w:rPr>
        <w:t xml:space="preserve"> - repetición</w:t>
      </w:r>
      <w:r w:rsidRPr="00350FCE">
        <w:rPr>
          <w:rFonts w:ascii="Arial" w:hAnsi="Arial" w:cs="Arial"/>
          <w:b/>
          <w:bCs/>
          <w:sz w:val="20"/>
          <w:szCs w:val="20"/>
        </w:rPr>
        <w:t>”. 2/9/2025.</w:t>
      </w:r>
      <w:r w:rsidR="00BA675B">
        <w:rPr>
          <w:rFonts w:ascii="Arial" w:hAnsi="Arial" w:cs="Arial"/>
          <w:b/>
          <w:bCs/>
          <w:sz w:val="20"/>
          <w:szCs w:val="20"/>
        </w:rPr>
        <w:t xml:space="preserve"> Competencia.</w:t>
      </w:r>
    </w:p>
    <w:p w14:paraId="36111840" w14:textId="2266B5ED" w:rsidR="00036FD9" w:rsidRDefault="00036FD9" w:rsidP="00036FD9">
      <w:pPr>
        <w:pStyle w:val="Prrafodelista"/>
        <w:spacing w:line="360" w:lineRule="atLeast"/>
        <w:ind w:left="360"/>
        <w:jc w:val="both"/>
        <w:rPr>
          <w:rFonts w:ascii="Arial" w:hAnsi="Arial" w:cs="Arial"/>
          <w:b/>
          <w:bCs/>
          <w:sz w:val="20"/>
          <w:szCs w:val="20"/>
        </w:rPr>
      </w:pPr>
      <w:r>
        <w:rPr>
          <w:rFonts w:ascii="Arial" w:hAnsi="Arial" w:cs="Arial"/>
          <w:b/>
          <w:bCs/>
          <w:sz w:val="20"/>
          <w:szCs w:val="20"/>
        </w:rPr>
        <w:t xml:space="preserve">En igual sentido: </w:t>
      </w:r>
      <w:r w:rsidR="00BA675B">
        <w:rPr>
          <w:rFonts w:ascii="Arial" w:hAnsi="Arial" w:cs="Arial"/>
          <w:b/>
          <w:bCs/>
          <w:sz w:val="20"/>
          <w:szCs w:val="20"/>
        </w:rPr>
        <w:t>“</w:t>
      </w:r>
      <w:proofErr w:type="spellStart"/>
      <w:r w:rsidRPr="00036FD9">
        <w:rPr>
          <w:rFonts w:ascii="Arial" w:hAnsi="Arial" w:cs="Arial"/>
          <w:b/>
          <w:bCs/>
          <w:sz w:val="20"/>
          <w:szCs w:val="20"/>
        </w:rPr>
        <w:t>Siderar</w:t>
      </w:r>
      <w:proofErr w:type="spellEnd"/>
      <w:r w:rsidRPr="00036FD9">
        <w:rPr>
          <w:rFonts w:ascii="Arial" w:hAnsi="Arial" w:cs="Arial"/>
          <w:b/>
          <w:bCs/>
          <w:sz w:val="20"/>
          <w:szCs w:val="20"/>
        </w:rPr>
        <w:t xml:space="preserve"> S.A. c/ Chaco, Provincia del s/</w:t>
      </w:r>
      <w:r>
        <w:rPr>
          <w:rFonts w:ascii="Arial" w:hAnsi="Arial" w:cs="Arial"/>
          <w:b/>
          <w:bCs/>
          <w:sz w:val="20"/>
          <w:szCs w:val="20"/>
        </w:rPr>
        <w:t xml:space="preserve"> </w:t>
      </w:r>
      <w:r w:rsidRPr="00036FD9">
        <w:rPr>
          <w:rFonts w:ascii="Arial" w:hAnsi="Arial" w:cs="Arial"/>
          <w:b/>
          <w:bCs/>
          <w:sz w:val="20"/>
          <w:szCs w:val="20"/>
        </w:rPr>
        <w:t>acción declarativa de</w:t>
      </w:r>
      <w:r>
        <w:rPr>
          <w:rFonts w:ascii="Arial" w:hAnsi="Arial" w:cs="Arial"/>
          <w:b/>
          <w:bCs/>
          <w:sz w:val="20"/>
          <w:szCs w:val="20"/>
        </w:rPr>
        <w:t xml:space="preserve"> </w:t>
      </w:r>
      <w:r w:rsidRPr="00036FD9">
        <w:rPr>
          <w:rFonts w:ascii="Arial" w:hAnsi="Arial" w:cs="Arial"/>
          <w:b/>
          <w:bCs/>
          <w:sz w:val="20"/>
          <w:szCs w:val="20"/>
        </w:rPr>
        <w:t xml:space="preserve">inconstitucionalidad </w:t>
      </w:r>
      <w:r>
        <w:rPr>
          <w:rFonts w:ascii="Arial" w:hAnsi="Arial" w:cs="Arial"/>
          <w:b/>
          <w:bCs/>
          <w:sz w:val="20"/>
          <w:szCs w:val="20"/>
        </w:rPr>
        <w:t>–</w:t>
      </w:r>
      <w:r w:rsidRPr="00036FD9">
        <w:rPr>
          <w:rFonts w:ascii="Arial" w:hAnsi="Arial" w:cs="Arial"/>
          <w:b/>
          <w:bCs/>
          <w:sz w:val="20"/>
          <w:szCs w:val="20"/>
        </w:rPr>
        <w:t xml:space="preserve"> repetición</w:t>
      </w:r>
      <w:r>
        <w:rPr>
          <w:rFonts w:ascii="Arial" w:hAnsi="Arial" w:cs="Arial"/>
          <w:b/>
          <w:bCs/>
          <w:sz w:val="20"/>
          <w:szCs w:val="20"/>
        </w:rPr>
        <w:t>”. 2/9/2025</w:t>
      </w:r>
    </w:p>
    <w:p w14:paraId="22C806C9" w14:textId="5A28396E" w:rsidR="00036FD9" w:rsidRPr="00BA675B" w:rsidRDefault="00BA675B" w:rsidP="00036FD9">
      <w:pPr>
        <w:pStyle w:val="Prrafodelista"/>
        <w:spacing w:line="360" w:lineRule="atLeast"/>
        <w:ind w:left="360"/>
        <w:jc w:val="both"/>
        <w:rPr>
          <w:rFonts w:ascii="Arial" w:hAnsi="Arial" w:cs="Arial"/>
          <w:b/>
          <w:bCs/>
          <w:sz w:val="20"/>
          <w:szCs w:val="20"/>
        </w:rPr>
      </w:pPr>
      <w:r>
        <w:rPr>
          <w:rFonts w:ascii="Arial" w:hAnsi="Arial" w:cs="Arial"/>
          <w:b/>
          <w:bCs/>
          <w:sz w:val="20"/>
          <w:szCs w:val="20"/>
        </w:rPr>
        <w:t>“</w:t>
      </w:r>
      <w:proofErr w:type="spellStart"/>
      <w:r w:rsidR="00036FD9" w:rsidRPr="00BA675B">
        <w:rPr>
          <w:rFonts w:ascii="Arial" w:hAnsi="Arial" w:cs="Arial"/>
          <w:b/>
          <w:bCs/>
          <w:sz w:val="20"/>
          <w:szCs w:val="20"/>
        </w:rPr>
        <w:t>Sidersa</w:t>
      </w:r>
      <w:proofErr w:type="spellEnd"/>
      <w:r w:rsidR="00036FD9" w:rsidRPr="00BA675B">
        <w:rPr>
          <w:rFonts w:ascii="Arial" w:hAnsi="Arial" w:cs="Arial"/>
          <w:b/>
          <w:bCs/>
          <w:sz w:val="20"/>
          <w:szCs w:val="20"/>
        </w:rPr>
        <w:t xml:space="preserve"> S.A. c/ Salta, Provincia de s/ acción declarativa de inconstitucionalidad y repetición</w:t>
      </w:r>
      <w:r>
        <w:rPr>
          <w:rFonts w:ascii="Arial" w:hAnsi="Arial" w:cs="Arial"/>
          <w:b/>
          <w:bCs/>
          <w:sz w:val="20"/>
          <w:szCs w:val="20"/>
        </w:rPr>
        <w:t>”</w:t>
      </w:r>
      <w:r w:rsidR="00036FD9" w:rsidRPr="00BA675B">
        <w:rPr>
          <w:rFonts w:ascii="Arial" w:hAnsi="Arial" w:cs="Arial"/>
          <w:b/>
          <w:bCs/>
          <w:sz w:val="20"/>
          <w:szCs w:val="20"/>
        </w:rPr>
        <w:t>. 2/9/2025.</w:t>
      </w:r>
    </w:p>
    <w:p w14:paraId="7B8BDAF7" w14:textId="6D5223C8" w:rsidR="00036FD9" w:rsidRPr="00BA675B" w:rsidRDefault="00BA675B" w:rsidP="00036FD9">
      <w:pPr>
        <w:pStyle w:val="Prrafodelista"/>
        <w:spacing w:line="360" w:lineRule="atLeast"/>
        <w:ind w:left="360"/>
        <w:jc w:val="both"/>
        <w:rPr>
          <w:rFonts w:ascii="Arial" w:hAnsi="Arial" w:cs="Arial"/>
          <w:b/>
          <w:bCs/>
          <w:sz w:val="20"/>
          <w:szCs w:val="20"/>
        </w:rPr>
      </w:pPr>
      <w:r>
        <w:rPr>
          <w:rFonts w:ascii="Arial" w:hAnsi="Arial" w:cs="Arial"/>
          <w:b/>
          <w:bCs/>
          <w:sz w:val="20"/>
          <w:szCs w:val="20"/>
        </w:rPr>
        <w:t>“</w:t>
      </w:r>
      <w:proofErr w:type="spellStart"/>
      <w:r w:rsidR="00036FD9" w:rsidRPr="00BA675B">
        <w:rPr>
          <w:rFonts w:ascii="Arial" w:hAnsi="Arial" w:cs="Arial"/>
          <w:b/>
          <w:bCs/>
          <w:sz w:val="20"/>
          <w:szCs w:val="20"/>
        </w:rPr>
        <w:t>Sidersa</w:t>
      </w:r>
      <w:proofErr w:type="spellEnd"/>
      <w:r w:rsidR="00036FD9" w:rsidRPr="00BA675B">
        <w:rPr>
          <w:rFonts w:ascii="Arial" w:hAnsi="Arial" w:cs="Arial"/>
          <w:b/>
          <w:bCs/>
          <w:sz w:val="20"/>
          <w:szCs w:val="20"/>
        </w:rPr>
        <w:t xml:space="preserve"> S.A. c/ Mendoza, Provincia de s/ acción declarativa de inconstitucionalidad y repetición</w:t>
      </w:r>
      <w:r>
        <w:rPr>
          <w:rFonts w:ascii="Arial" w:hAnsi="Arial" w:cs="Arial"/>
          <w:b/>
          <w:bCs/>
          <w:sz w:val="20"/>
          <w:szCs w:val="20"/>
        </w:rPr>
        <w:t>”</w:t>
      </w:r>
      <w:r w:rsidR="00036FD9" w:rsidRPr="00BA675B">
        <w:rPr>
          <w:rFonts w:ascii="Arial" w:hAnsi="Arial" w:cs="Arial"/>
          <w:b/>
          <w:bCs/>
          <w:sz w:val="20"/>
          <w:szCs w:val="20"/>
        </w:rPr>
        <w:t>. 2/9/2025.</w:t>
      </w:r>
    </w:p>
    <w:p w14:paraId="3860A54D" w14:textId="2C627248" w:rsidR="00036FD9" w:rsidRDefault="00036FD9" w:rsidP="00036FD9">
      <w:pPr>
        <w:pStyle w:val="Prrafodelista"/>
        <w:spacing w:line="360" w:lineRule="atLeast"/>
        <w:ind w:left="360"/>
        <w:jc w:val="both"/>
        <w:rPr>
          <w:rFonts w:ascii="Arial" w:hAnsi="Arial" w:cs="Arial"/>
          <w:sz w:val="20"/>
          <w:szCs w:val="20"/>
        </w:rPr>
      </w:pPr>
      <w:r w:rsidRPr="00BA675B">
        <w:rPr>
          <w:rFonts w:ascii="Arial" w:hAnsi="Arial" w:cs="Arial"/>
          <w:b/>
          <w:bCs/>
          <w:sz w:val="20"/>
          <w:szCs w:val="20"/>
        </w:rPr>
        <w:t>Y otros</w:t>
      </w:r>
      <w:r>
        <w:rPr>
          <w:rFonts w:ascii="Arial" w:hAnsi="Arial" w:cs="Arial"/>
          <w:sz w:val="20"/>
          <w:szCs w:val="20"/>
        </w:rPr>
        <w:t xml:space="preserve"> </w:t>
      </w:r>
    </w:p>
    <w:p w14:paraId="20065565" w14:textId="2DEF698B" w:rsidR="00350FCE" w:rsidRDefault="00BA675B" w:rsidP="00350FCE">
      <w:pPr>
        <w:spacing w:line="360" w:lineRule="atLeast"/>
        <w:jc w:val="both"/>
        <w:rPr>
          <w:rFonts w:ascii="Arial" w:hAnsi="Arial" w:cs="Arial"/>
          <w:sz w:val="20"/>
          <w:szCs w:val="20"/>
        </w:rPr>
      </w:pPr>
      <w:r>
        <w:rPr>
          <w:rFonts w:ascii="Arial" w:hAnsi="Arial" w:cs="Arial"/>
          <w:sz w:val="20"/>
          <w:szCs w:val="20"/>
        </w:rPr>
        <w:t>L</w:t>
      </w:r>
      <w:r w:rsidRPr="00BA675B">
        <w:rPr>
          <w:rFonts w:ascii="Arial" w:hAnsi="Arial" w:cs="Arial"/>
          <w:sz w:val="20"/>
          <w:szCs w:val="20"/>
        </w:rPr>
        <w:t xml:space="preserve">a CSJN hace lugar al planteo de repetición </w:t>
      </w:r>
      <w:r>
        <w:rPr>
          <w:rFonts w:ascii="Arial" w:hAnsi="Arial" w:cs="Arial"/>
          <w:sz w:val="20"/>
          <w:szCs w:val="20"/>
        </w:rPr>
        <w:t>al haberse interpuesto</w:t>
      </w:r>
      <w:r w:rsidRPr="00BA675B">
        <w:rPr>
          <w:rFonts w:ascii="Arial" w:hAnsi="Arial" w:cs="Arial"/>
          <w:sz w:val="20"/>
          <w:szCs w:val="20"/>
        </w:rPr>
        <w:t xml:space="preserve"> conjuntamente con la acción de</w:t>
      </w:r>
      <w:r>
        <w:rPr>
          <w:rFonts w:ascii="Arial" w:hAnsi="Arial" w:cs="Arial"/>
          <w:sz w:val="20"/>
          <w:szCs w:val="20"/>
        </w:rPr>
        <w:t xml:space="preserve">clarativa de </w:t>
      </w:r>
      <w:r w:rsidRPr="00BA675B">
        <w:rPr>
          <w:rFonts w:ascii="Arial" w:hAnsi="Arial" w:cs="Arial"/>
          <w:sz w:val="20"/>
          <w:szCs w:val="20"/>
        </w:rPr>
        <w:t>inconstitucionalidad</w:t>
      </w:r>
      <w:r>
        <w:rPr>
          <w:rFonts w:ascii="Arial" w:hAnsi="Arial" w:cs="Arial"/>
          <w:sz w:val="20"/>
          <w:szCs w:val="20"/>
        </w:rPr>
        <w:t>.</w:t>
      </w:r>
    </w:p>
    <w:p w14:paraId="74EE6B1A" w14:textId="77777777" w:rsidR="00BA675B" w:rsidRPr="00350FCE" w:rsidRDefault="00BA675B" w:rsidP="00350FCE">
      <w:pPr>
        <w:spacing w:line="360" w:lineRule="atLeast"/>
        <w:jc w:val="both"/>
        <w:rPr>
          <w:rFonts w:ascii="Arial" w:hAnsi="Arial" w:cs="Arial"/>
          <w:sz w:val="20"/>
          <w:szCs w:val="20"/>
        </w:rPr>
      </w:pPr>
    </w:p>
    <w:p w14:paraId="35610F4A" w14:textId="7DA817FC" w:rsidR="00BA675B" w:rsidRPr="009361B2" w:rsidRDefault="00D32BD6" w:rsidP="00BA675B">
      <w:pPr>
        <w:pStyle w:val="Prrafodelista"/>
        <w:numPr>
          <w:ilvl w:val="0"/>
          <w:numId w:val="4"/>
        </w:numPr>
        <w:spacing w:line="360" w:lineRule="atLeast"/>
        <w:jc w:val="both"/>
        <w:rPr>
          <w:rFonts w:ascii="Arial" w:hAnsi="Arial" w:cs="Arial"/>
          <w:b/>
          <w:bCs/>
          <w:sz w:val="20"/>
          <w:szCs w:val="20"/>
        </w:rPr>
      </w:pPr>
      <w:r w:rsidRPr="00BA675B">
        <w:rPr>
          <w:rFonts w:ascii="Arial" w:hAnsi="Arial" w:cs="Arial"/>
          <w:b/>
          <w:bCs/>
          <w:sz w:val="20"/>
          <w:szCs w:val="20"/>
        </w:rPr>
        <w:t>Corte Suprema de Justicia de la Nación. “</w:t>
      </w:r>
      <w:proofErr w:type="spellStart"/>
      <w:r w:rsidRPr="00BA675B">
        <w:rPr>
          <w:rFonts w:ascii="Arial" w:hAnsi="Arial" w:cs="Arial"/>
          <w:b/>
          <w:bCs/>
          <w:sz w:val="20"/>
          <w:szCs w:val="20"/>
        </w:rPr>
        <w:t>Pehuenia</w:t>
      </w:r>
      <w:proofErr w:type="spellEnd"/>
      <w:r w:rsidRPr="00BA675B">
        <w:rPr>
          <w:rFonts w:ascii="Arial" w:hAnsi="Arial" w:cs="Arial"/>
          <w:b/>
          <w:bCs/>
          <w:sz w:val="20"/>
          <w:szCs w:val="20"/>
        </w:rPr>
        <w:t xml:space="preserve"> Alimentaria S.R.L. c/ Córdoba, Provincia de s/ acción declarativa de certeza”. 21/8/2025.</w:t>
      </w:r>
      <w:r w:rsidR="00BA675B" w:rsidRPr="00BA675B">
        <w:rPr>
          <w:rFonts w:ascii="Arial" w:hAnsi="Arial" w:cs="Arial"/>
          <w:b/>
          <w:bCs/>
          <w:sz w:val="20"/>
          <w:szCs w:val="20"/>
        </w:rPr>
        <w:t xml:space="preserve"> </w:t>
      </w:r>
      <w:bookmarkStart w:id="1" w:name="_Hlk208167579"/>
      <w:r w:rsidR="00BA675B" w:rsidRPr="009361B2">
        <w:rPr>
          <w:rFonts w:ascii="Arial" w:hAnsi="Arial" w:cs="Arial"/>
          <w:b/>
          <w:bCs/>
          <w:sz w:val="20"/>
          <w:szCs w:val="20"/>
        </w:rPr>
        <w:t>Impuesto sobre los Ingresos Brutos. Alícuotas Diferenciales.</w:t>
      </w:r>
    </w:p>
    <w:bookmarkEnd w:id="1"/>
    <w:p w14:paraId="04045155" w14:textId="5C7EF2BA" w:rsidR="00D32BD6" w:rsidRDefault="00370BAC" w:rsidP="00D32BD6">
      <w:pPr>
        <w:spacing w:line="360" w:lineRule="atLeast"/>
        <w:jc w:val="both"/>
        <w:rPr>
          <w:rFonts w:ascii="Arial" w:hAnsi="Arial" w:cs="Arial"/>
          <w:sz w:val="20"/>
          <w:szCs w:val="20"/>
        </w:rPr>
      </w:pPr>
      <w:r w:rsidRPr="00370BAC">
        <w:rPr>
          <w:rFonts w:ascii="Arial" w:hAnsi="Arial" w:cs="Arial"/>
          <w:sz w:val="20"/>
          <w:szCs w:val="20"/>
        </w:rPr>
        <w:t xml:space="preserve">Hacer lugar a la demanda entablada por </w:t>
      </w:r>
      <w:proofErr w:type="spellStart"/>
      <w:r w:rsidRPr="00370BAC">
        <w:rPr>
          <w:rFonts w:ascii="Arial" w:hAnsi="Arial" w:cs="Arial"/>
          <w:sz w:val="20"/>
          <w:szCs w:val="20"/>
        </w:rPr>
        <w:t>Pehuenia</w:t>
      </w:r>
      <w:proofErr w:type="spellEnd"/>
      <w:r w:rsidRPr="00370BAC">
        <w:rPr>
          <w:rFonts w:ascii="Arial" w:hAnsi="Arial" w:cs="Arial"/>
          <w:sz w:val="20"/>
          <w:szCs w:val="20"/>
        </w:rPr>
        <w:t xml:space="preserve"> Alimentaria</w:t>
      </w:r>
      <w:r>
        <w:rPr>
          <w:rFonts w:ascii="Arial" w:hAnsi="Arial" w:cs="Arial"/>
          <w:sz w:val="20"/>
          <w:szCs w:val="20"/>
        </w:rPr>
        <w:t xml:space="preserve"> </w:t>
      </w:r>
      <w:r w:rsidRPr="00370BAC">
        <w:rPr>
          <w:rFonts w:ascii="Arial" w:hAnsi="Arial" w:cs="Arial"/>
          <w:sz w:val="20"/>
          <w:szCs w:val="20"/>
        </w:rPr>
        <w:t>S.R.L. contra la Provincia de Córdoba. En consecuencia, declarar la</w:t>
      </w:r>
      <w:r>
        <w:rPr>
          <w:rFonts w:ascii="Arial" w:hAnsi="Arial" w:cs="Arial"/>
          <w:sz w:val="20"/>
          <w:szCs w:val="20"/>
        </w:rPr>
        <w:t xml:space="preserve"> </w:t>
      </w:r>
      <w:r w:rsidRPr="00370BAC">
        <w:rPr>
          <w:rFonts w:ascii="Arial" w:hAnsi="Arial" w:cs="Arial"/>
          <w:sz w:val="20"/>
          <w:szCs w:val="20"/>
        </w:rPr>
        <w:t>inconstitucionalidad del requisito de que la explotación o el establecimiento</w:t>
      </w:r>
      <w:r>
        <w:rPr>
          <w:rFonts w:ascii="Arial" w:hAnsi="Arial" w:cs="Arial"/>
          <w:sz w:val="20"/>
          <w:szCs w:val="20"/>
        </w:rPr>
        <w:t xml:space="preserve"> </w:t>
      </w:r>
      <w:r w:rsidRPr="00370BAC">
        <w:rPr>
          <w:rFonts w:ascii="Arial" w:hAnsi="Arial" w:cs="Arial"/>
          <w:sz w:val="20"/>
          <w:szCs w:val="20"/>
        </w:rPr>
        <w:t>productivo en actividad del contribuyente se encuentre ubicado en territorio de</w:t>
      </w:r>
      <w:r>
        <w:rPr>
          <w:rFonts w:ascii="Arial" w:hAnsi="Arial" w:cs="Arial"/>
          <w:sz w:val="20"/>
          <w:szCs w:val="20"/>
        </w:rPr>
        <w:t xml:space="preserve"> </w:t>
      </w:r>
      <w:r w:rsidRPr="00370BAC">
        <w:rPr>
          <w:rFonts w:ascii="Arial" w:hAnsi="Arial" w:cs="Arial"/>
          <w:sz w:val="20"/>
          <w:szCs w:val="20"/>
        </w:rPr>
        <w:t>la provincia, establecido en el párrafo 1° del art. 18 de la ley 10.412 del referido</w:t>
      </w:r>
      <w:r>
        <w:rPr>
          <w:rFonts w:ascii="Arial" w:hAnsi="Arial" w:cs="Arial"/>
          <w:sz w:val="20"/>
          <w:szCs w:val="20"/>
        </w:rPr>
        <w:t xml:space="preserve"> </w:t>
      </w:r>
      <w:r w:rsidRPr="00370BAC">
        <w:rPr>
          <w:rFonts w:ascii="Arial" w:hAnsi="Arial" w:cs="Arial"/>
          <w:sz w:val="20"/>
          <w:szCs w:val="20"/>
        </w:rPr>
        <w:t>Estado provincial, como así también la de la pretensión fiscal plasmada en la</w:t>
      </w:r>
      <w:r>
        <w:rPr>
          <w:rFonts w:ascii="Arial" w:hAnsi="Arial" w:cs="Arial"/>
          <w:sz w:val="20"/>
          <w:szCs w:val="20"/>
        </w:rPr>
        <w:t xml:space="preserve"> </w:t>
      </w:r>
      <w:r w:rsidRPr="00370BAC">
        <w:rPr>
          <w:rFonts w:ascii="Arial" w:hAnsi="Arial" w:cs="Arial"/>
          <w:sz w:val="20"/>
          <w:szCs w:val="20"/>
        </w:rPr>
        <w:t>Resolución DJRAF-R 0017/2017, del 29 de agosto de ese año</w:t>
      </w:r>
      <w:r>
        <w:rPr>
          <w:rFonts w:ascii="Arial" w:hAnsi="Arial" w:cs="Arial"/>
          <w:sz w:val="20"/>
          <w:szCs w:val="20"/>
        </w:rPr>
        <w:t>.</w:t>
      </w:r>
    </w:p>
    <w:p w14:paraId="6A046CB4" w14:textId="77777777" w:rsidR="00370BAC" w:rsidRPr="00370BAC" w:rsidRDefault="00370BAC" w:rsidP="00D32BD6">
      <w:pPr>
        <w:spacing w:line="360" w:lineRule="atLeast"/>
        <w:jc w:val="both"/>
        <w:rPr>
          <w:rFonts w:ascii="Arial" w:hAnsi="Arial" w:cs="Arial"/>
          <w:b/>
          <w:bCs/>
          <w:sz w:val="20"/>
          <w:szCs w:val="20"/>
        </w:rPr>
      </w:pPr>
    </w:p>
    <w:p w14:paraId="58AC73B1" w14:textId="5E706D0A" w:rsidR="00D32BD6" w:rsidRPr="008924D5" w:rsidRDefault="00D32BD6" w:rsidP="008924D5">
      <w:pPr>
        <w:pStyle w:val="Prrafodelista"/>
        <w:numPr>
          <w:ilvl w:val="0"/>
          <w:numId w:val="4"/>
        </w:numPr>
        <w:spacing w:line="360" w:lineRule="atLeast"/>
        <w:jc w:val="both"/>
        <w:rPr>
          <w:rFonts w:ascii="Arial" w:hAnsi="Arial" w:cs="Arial"/>
          <w:b/>
          <w:bCs/>
          <w:sz w:val="20"/>
          <w:szCs w:val="20"/>
        </w:rPr>
      </w:pPr>
      <w:r w:rsidRPr="00370BAC">
        <w:rPr>
          <w:rFonts w:ascii="Arial" w:hAnsi="Arial" w:cs="Arial"/>
          <w:b/>
          <w:bCs/>
          <w:sz w:val="20"/>
          <w:szCs w:val="20"/>
        </w:rPr>
        <w:t>Corte Suprema de Justicia de la Nación. “</w:t>
      </w:r>
      <w:proofErr w:type="spellStart"/>
      <w:r w:rsidRPr="00370BAC">
        <w:rPr>
          <w:rFonts w:ascii="Arial" w:hAnsi="Arial" w:cs="Arial"/>
          <w:b/>
          <w:bCs/>
          <w:sz w:val="20"/>
          <w:szCs w:val="20"/>
        </w:rPr>
        <w:t>Favicur</w:t>
      </w:r>
      <w:proofErr w:type="spellEnd"/>
      <w:r w:rsidRPr="00370BAC">
        <w:rPr>
          <w:rFonts w:ascii="Arial" w:hAnsi="Arial" w:cs="Arial"/>
          <w:b/>
          <w:bCs/>
          <w:sz w:val="20"/>
          <w:szCs w:val="20"/>
        </w:rPr>
        <w:t xml:space="preserve"> I.C.S.A. c/ Corrientes, Provincia de y </w:t>
      </w:r>
      <w:proofErr w:type="spellStart"/>
      <w:r w:rsidRPr="00370BAC">
        <w:rPr>
          <w:rFonts w:ascii="Arial" w:hAnsi="Arial" w:cs="Arial"/>
          <w:b/>
          <w:bCs/>
          <w:sz w:val="20"/>
          <w:szCs w:val="20"/>
        </w:rPr>
        <w:t>otro s</w:t>
      </w:r>
      <w:proofErr w:type="spellEnd"/>
      <w:r w:rsidRPr="00370BAC">
        <w:rPr>
          <w:rFonts w:ascii="Arial" w:hAnsi="Arial" w:cs="Arial"/>
          <w:b/>
          <w:bCs/>
          <w:sz w:val="20"/>
          <w:szCs w:val="20"/>
        </w:rPr>
        <w:t>/ acción declarativa de inconstitucionalidad”. 17/7/2025</w:t>
      </w:r>
      <w:r w:rsidR="008924D5">
        <w:rPr>
          <w:rFonts w:ascii="Arial" w:hAnsi="Arial" w:cs="Arial"/>
          <w:b/>
          <w:bCs/>
          <w:sz w:val="20"/>
          <w:szCs w:val="20"/>
        </w:rPr>
        <w:t>.</w:t>
      </w:r>
      <w:r w:rsidR="008924D5" w:rsidRPr="008924D5">
        <w:rPr>
          <w:rFonts w:ascii="Arial" w:hAnsi="Arial" w:cs="Arial"/>
          <w:b/>
          <w:bCs/>
          <w:sz w:val="20"/>
          <w:szCs w:val="20"/>
        </w:rPr>
        <w:t xml:space="preserve"> </w:t>
      </w:r>
      <w:r w:rsidR="008924D5" w:rsidRPr="009361B2">
        <w:rPr>
          <w:rFonts w:ascii="Arial" w:hAnsi="Arial" w:cs="Arial"/>
          <w:b/>
          <w:bCs/>
          <w:sz w:val="20"/>
          <w:szCs w:val="20"/>
        </w:rPr>
        <w:t>Impuesto sobre los Ingresos Brutos. Alícuotas Diferenciales.</w:t>
      </w:r>
    </w:p>
    <w:p w14:paraId="42DD785F" w14:textId="77777777" w:rsidR="008924D5" w:rsidRDefault="008924D5" w:rsidP="008924D5">
      <w:pPr>
        <w:spacing w:line="360" w:lineRule="atLeast"/>
        <w:jc w:val="both"/>
        <w:rPr>
          <w:rFonts w:ascii="Arial" w:hAnsi="Arial" w:cs="Arial"/>
          <w:sz w:val="20"/>
          <w:szCs w:val="20"/>
        </w:rPr>
      </w:pPr>
      <w:r>
        <w:rPr>
          <w:rFonts w:ascii="Arial" w:hAnsi="Arial" w:cs="Arial"/>
          <w:sz w:val="20"/>
          <w:szCs w:val="20"/>
        </w:rPr>
        <w:t>E</w:t>
      </w:r>
      <w:r w:rsidRPr="008924D5">
        <w:rPr>
          <w:rFonts w:ascii="Arial" w:hAnsi="Arial" w:cs="Arial"/>
          <w:sz w:val="20"/>
          <w:szCs w:val="20"/>
        </w:rPr>
        <w:t>n el presente</w:t>
      </w:r>
      <w:r>
        <w:rPr>
          <w:rFonts w:ascii="Arial" w:hAnsi="Arial" w:cs="Arial"/>
          <w:sz w:val="20"/>
          <w:szCs w:val="20"/>
        </w:rPr>
        <w:t xml:space="preserve"> </w:t>
      </w:r>
      <w:r w:rsidRPr="008924D5">
        <w:rPr>
          <w:rFonts w:ascii="Arial" w:hAnsi="Arial" w:cs="Arial"/>
          <w:sz w:val="20"/>
          <w:szCs w:val="20"/>
        </w:rPr>
        <w:t>proceso queda en evidencia la discriminación generada por la legislación</w:t>
      </w:r>
      <w:r>
        <w:rPr>
          <w:rFonts w:ascii="Arial" w:hAnsi="Arial" w:cs="Arial"/>
          <w:sz w:val="20"/>
          <w:szCs w:val="20"/>
        </w:rPr>
        <w:t xml:space="preserve"> </w:t>
      </w:r>
      <w:r w:rsidRPr="008924D5">
        <w:rPr>
          <w:rFonts w:ascii="Arial" w:hAnsi="Arial" w:cs="Arial"/>
          <w:sz w:val="20"/>
          <w:szCs w:val="20"/>
        </w:rPr>
        <w:t>provincial en función del lugar de radicación del establecimiento productivo del</w:t>
      </w:r>
      <w:r>
        <w:rPr>
          <w:rFonts w:ascii="Arial" w:hAnsi="Arial" w:cs="Arial"/>
          <w:sz w:val="20"/>
          <w:szCs w:val="20"/>
        </w:rPr>
        <w:t xml:space="preserve"> </w:t>
      </w:r>
      <w:r w:rsidRPr="008924D5">
        <w:rPr>
          <w:rFonts w:ascii="Arial" w:hAnsi="Arial" w:cs="Arial"/>
          <w:sz w:val="20"/>
          <w:szCs w:val="20"/>
        </w:rPr>
        <w:t>contribuyente</w:t>
      </w:r>
      <w:r>
        <w:rPr>
          <w:rFonts w:ascii="Arial" w:hAnsi="Arial" w:cs="Arial"/>
          <w:sz w:val="20"/>
          <w:szCs w:val="20"/>
        </w:rPr>
        <w:t>.</w:t>
      </w:r>
    </w:p>
    <w:p w14:paraId="5B08DECF" w14:textId="431C8EB6" w:rsidR="008924D5" w:rsidRDefault="008924D5" w:rsidP="008924D5">
      <w:pPr>
        <w:spacing w:line="360" w:lineRule="atLeast"/>
        <w:jc w:val="both"/>
        <w:rPr>
          <w:rFonts w:ascii="Arial" w:hAnsi="Arial" w:cs="Arial"/>
          <w:sz w:val="20"/>
          <w:szCs w:val="20"/>
        </w:rPr>
      </w:pPr>
      <w:r w:rsidRPr="008924D5">
        <w:rPr>
          <w:rFonts w:ascii="Arial" w:hAnsi="Arial" w:cs="Arial"/>
          <w:sz w:val="20"/>
          <w:szCs w:val="20"/>
        </w:rPr>
        <w:lastRenderedPageBreak/>
        <w:t xml:space="preserve">Hacer lugar a la demanda entablada por </w:t>
      </w:r>
      <w:proofErr w:type="spellStart"/>
      <w:r w:rsidRPr="008924D5">
        <w:rPr>
          <w:rFonts w:ascii="Arial" w:hAnsi="Arial" w:cs="Arial"/>
          <w:sz w:val="20"/>
          <w:szCs w:val="20"/>
        </w:rPr>
        <w:t>Favicur</w:t>
      </w:r>
      <w:proofErr w:type="spellEnd"/>
      <w:r w:rsidRPr="008924D5">
        <w:rPr>
          <w:rFonts w:ascii="Arial" w:hAnsi="Arial" w:cs="Arial"/>
          <w:sz w:val="20"/>
          <w:szCs w:val="20"/>
        </w:rPr>
        <w:t xml:space="preserve"> I.C.S.A. contra la Provincia de</w:t>
      </w:r>
      <w:r>
        <w:rPr>
          <w:rFonts w:ascii="Arial" w:hAnsi="Arial" w:cs="Arial"/>
          <w:sz w:val="20"/>
          <w:szCs w:val="20"/>
        </w:rPr>
        <w:t xml:space="preserve"> </w:t>
      </w:r>
      <w:r w:rsidRPr="008924D5">
        <w:rPr>
          <w:rFonts w:ascii="Arial" w:hAnsi="Arial" w:cs="Arial"/>
          <w:sz w:val="20"/>
          <w:szCs w:val="20"/>
        </w:rPr>
        <w:t>Corrientes. En consecuencia, declarar la inconstitucionalidad del último párrafo</w:t>
      </w:r>
      <w:r>
        <w:rPr>
          <w:rFonts w:ascii="Arial" w:hAnsi="Arial" w:cs="Arial"/>
          <w:sz w:val="20"/>
          <w:szCs w:val="20"/>
        </w:rPr>
        <w:t xml:space="preserve"> </w:t>
      </w:r>
      <w:r w:rsidRPr="008924D5">
        <w:rPr>
          <w:rFonts w:ascii="Arial" w:hAnsi="Arial" w:cs="Arial"/>
          <w:sz w:val="20"/>
          <w:szCs w:val="20"/>
        </w:rPr>
        <w:t>del art. 6° de la ley 6249 de dicha provincia, como así también la de la</w:t>
      </w:r>
      <w:r>
        <w:rPr>
          <w:rFonts w:ascii="Arial" w:hAnsi="Arial" w:cs="Arial"/>
          <w:sz w:val="20"/>
          <w:szCs w:val="20"/>
        </w:rPr>
        <w:t xml:space="preserve"> </w:t>
      </w:r>
      <w:r w:rsidRPr="008924D5">
        <w:rPr>
          <w:rFonts w:ascii="Arial" w:hAnsi="Arial" w:cs="Arial"/>
          <w:sz w:val="20"/>
          <w:szCs w:val="20"/>
        </w:rPr>
        <w:t xml:space="preserve">pretensión fiscal plasmada en la “Corrida de vista 2148/2016”, </w:t>
      </w:r>
      <w:r>
        <w:rPr>
          <w:rFonts w:ascii="Arial" w:hAnsi="Arial" w:cs="Arial"/>
          <w:sz w:val="20"/>
          <w:szCs w:val="20"/>
        </w:rPr>
        <w:t>e</w:t>
      </w:r>
      <w:r w:rsidRPr="008924D5">
        <w:rPr>
          <w:rFonts w:ascii="Arial" w:hAnsi="Arial" w:cs="Arial"/>
          <w:sz w:val="20"/>
          <w:szCs w:val="20"/>
        </w:rPr>
        <w:t>mitida por la</w:t>
      </w:r>
      <w:r>
        <w:rPr>
          <w:rFonts w:ascii="Arial" w:hAnsi="Arial" w:cs="Arial"/>
          <w:sz w:val="20"/>
          <w:szCs w:val="20"/>
        </w:rPr>
        <w:t xml:space="preserve"> </w:t>
      </w:r>
      <w:r w:rsidRPr="008924D5">
        <w:rPr>
          <w:rFonts w:ascii="Arial" w:hAnsi="Arial" w:cs="Arial"/>
          <w:sz w:val="20"/>
          <w:szCs w:val="20"/>
        </w:rPr>
        <w:t>Dirección General de Rentas provincial</w:t>
      </w:r>
      <w:r>
        <w:rPr>
          <w:rFonts w:ascii="Arial" w:hAnsi="Arial" w:cs="Arial"/>
          <w:sz w:val="20"/>
          <w:szCs w:val="20"/>
        </w:rPr>
        <w:t>.</w:t>
      </w:r>
    </w:p>
    <w:p w14:paraId="0AF655DF" w14:textId="3274FB66" w:rsidR="008924D5" w:rsidRPr="00633677" w:rsidRDefault="008924D5" w:rsidP="008924D5">
      <w:pPr>
        <w:spacing w:line="360" w:lineRule="atLeast"/>
        <w:jc w:val="both"/>
        <w:rPr>
          <w:rFonts w:ascii="Arial" w:hAnsi="Arial" w:cs="Arial"/>
          <w:b/>
          <w:bCs/>
          <w:sz w:val="20"/>
          <w:szCs w:val="20"/>
        </w:rPr>
      </w:pPr>
      <w:r w:rsidRPr="00633677">
        <w:rPr>
          <w:rFonts w:ascii="Arial" w:hAnsi="Arial" w:cs="Arial"/>
          <w:b/>
          <w:bCs/>
          <w:sz w:val="20"/>
          <w:szCs w:val="20"/>
        </w:rPr>
        <w:t>En igual sentido: CSJN. “MRT Transportes S.A. c/ Santa Fe, Provincia de s/ acción declarativa (art.322 Cód. Procesal)”. 17/7/2025.</w:t>
      </w:r>
    </w:p>
    <w:p w14:paraId="6028C08B" w14:textId="29E35AEE" w:rsidR="008924D5" w:rsidRPr="00633677" w:rsidRDefault="00687012" w:rsidP="00687012">
      <w:pPr>
        <w:spacing w:line="360" w:lineRule="atLeast"/>
        <w:jc w:val="both"/>
        <w:rPr>
          <w:rFonts w:ascii="Arial" w:hAnsi="Arial" w:cs="Arial"/>
          <w:b/>
          <w:bCs/>
          <w:sz w:val="20"/>
          <w:szCs w:val="20"/>
        </w:rPr>
      </w:pPr>
      <w:r w:rsidRPr="00633677">
        <w:rPr>
          <w:rFonts w:ascii="Arial" w:hAnsi="Arial" w:cs="Arial"/>
          <w:b/>
          <w:bCs/>
          <w:sz w:val="20"/>
          <w:szCs w:val="20"/>
        </w:rPr>
        <w:t>CSJN. “Petroquímica Cuyo SAIC c/ Buenos Aires, Provincia de s/ acción declarativa de inconstitucionalidad”. 17/7/2025.</w:t>
      </w:r>
    </w:p>
    <w:p w14:paraId="50D6F559" w14:textId="36C9FDAE" w:rsidR="00687012" w:rsidRPr="00633677" w:rsidRDefault="00687012" w:rsidP="00687012">
      <w:pPr>
        <w:spacing w:line="360" w:lineRule="atLeast"/>
        <w:jc w:val="both"/>
        <w:rPr>
          <w:rFonts w:ascii="Arial" w:hAnsi="Arial" w:cs="Arial"/>
          <w:b/>
          <w:bCs/>
          <w:sz w:val="20"/>
          <w:szCs w:val="20"/>
        </w:rPr>
      </w:pPr>
      <w:r w:rsidRPr="00633677">
        <w:rPr>
          <w:rFonts w:ascii="Arial" w:hAnsi="Arial" w:cs="Arial"/>
          <w:b/>
          <w:bCs/>
          <w:sz w:val="20"/>
          <w:szCs w:val="20"/>
        </w:rPr>
        <w:t>CSJ</w:t>
      </w:r>
      <w:r w:rsidR="00633677" w:rsidRPr="00633677">
        <w:rPr>
          <w:rFonts w:ascii="Arial" w:hAnsi="Arial" w:cs="Arial"/>
          <w:b/>
          <w:bCs/>
          <w:sz w:val="20"/>
          <w:szCs w:val="20"/>
        </w:rPr>
        <w:t>N. “</w:t>
      </w:r>
      <w:proofErr w:type="spellStart"/>
      <w:r w:rsidRPr="00633677">
        <w:rPr>
          <w:rFonts w:ascii="Arial" w:hAnsi="Arial" w:cs="Arial"/>
          <w:b/>
          <w:bCs/>
          <w:sz w:val="20"/>
          <w:szCs w:val="20"/>
        </w:rPr>
        <w:t>Vanoli</w:t>
      </w:r>
      <w:proofErr w:type="spellEnd"/>
      <w:r w:rsidRPr="00633677">
        <w:rPr>
          <w:rFonts w:ascii="Arial" w:hAnsi="Arial" w:cs="Arial"/>
          <w:b/>
          <w:bCs/>
          <w:sz w:val="20"/>
          <w:szCs w:val="20"/>
        </w:rPr>
        <w:t xml:space="preserve"> y Cía. S.A. c/ Salta, Provincia de s/ acción declarativa de certeza”. 21/8/2025.</w:t>
      </w:r>
    </w:p>
    <w:p w14:paraId="0DFFAACB" w14:textId="6D757ED4" w:rsidR="00687012" w:rsidRDefault="00687012" w:rsidP="00687012">
      <w:pPr>
        <w:spacing w:line="360" w:lineRule="atLeast"/>
        <w:jc w:val="both"/>
        <w:rPr>
          <w:rFonts w:ascii="Arial" w:hAnsi="Arial" w:cs="Arial"/>
          <w:b/>
          <w:bCs/>
          <w:sz w:val="20"/>
          <w:szCs w:val="20"/>
        </w:rPr>
      </w:pPr>
      <w:r w:rsidRPr="00633677">
        <w:rPr>
          <w:rFonts w:ascii="Arial" w:hAnsi="Arial" w:cs="Arial"/>
          <w:b/>
          <w:bCs/>
          <w:sz w:val="20"/>
          <w:szCs w:val="20"/>
        </w:rPr>
        <w:t>Entre otras.</w:t>
      </w:r>
    </w:p>
    <w:p w14:paraId="0680D632" w14:textId="77777777" w:rsidR="00BD29AB" w:rsidRPr="00633677" w:rsidRDefault="00BD29AB" w:rsidP="00687012">
      <w:pPr>
        <w:spacing w:line="360" w:lineRule="atLeast"/>
        <w:jc w:val="both"/>
        <w:rPr>
          <w:rFonts w:ascii="Arial" w:hAnsi="Arial" w:cs="Arial"/>
          <w:b/>
          <w:bCs/>
          <w:sz w:val="20"/>
          <w:szCs w:val="20"/>
        </w:rPr>
      </w:pPr>
    </w:p>
    <w:p w14:paraId="3998FA20" w14:textId="0ECD0DF5" w:rsidR="00354882" w:rsidRPr="00BD29AB" w:rsidRDefault="00253FED" w:rsidP="00213959">
      <w:pPr>
        <w:pStyle w:val="Prrafodelista"/>
        <w:numPr>
          <w:ilvl w:val="0"/>
          <w:numId w:val="4"/>
        </w:numPr>
        <w:spacing w:line="360" w:lineRule="atLeast"/>
        <w:ind w:left="357" w:hanging="357"/>
        <w:jc w:val="both"/>
        <w:rPr>
          <w:rFonts w:ascii="Arial" w:hAnsi="Arial" w:cs="Arial"/>
          <w:b/>
          <w:bCs/>
          <w:sz w:val="20"/>
          <w:szCs w:val="20"/>
        </w:rPr>
      </w:pPr>
      <w:r w:rsidRPr="00BD29AB">
        <w:rPr>
          <w:rFonts w:ascii="Arial" w:hAnsi="Arial" w:cs="Arial"/>
          <w:b/>
          <w:bCs/>
          <w:sz w:val="20"/>
          <w:szCs w:val="20"/>
        </w:rPr>
        <w:t xml:space="preserve">Corte Suprema de Justicia de la </w:t>
      </w:r>
      <w:r w:rsidR="00AA0950" w:rsidRPr="00BD29AB">
        <w:rPr>
          <w:rFonts w:ascii="Arial" w:hAnsi="Arial" w:cs="Arial"/>
          <w:b/>
          <w:bCs/>
          <w:sz w:val="20"/>
          <w:szCs w:val="20"/>
        </w:rPr>
        <w:t xml:space="preserve">Provincia </w:t>
      </w:r>
      <w:r w:rsidR="007374D4" w:rsidRPr="00BD29AB">
        <w:rPr>
          <w:rFonts w:ascii="Arial" w:hAnsi="Arial" w:cs="Arial"/>
          <w:b/>
          <w:bCs/>
          <w:sz w:val="20"/>
          <w:szCs w:val="20"/>
        </w:rPr>
        <w:t>de</w:t>
      </w:r>
      <w:r w:rsidR="00BD29AB" w:rsidRPr="00BD29AB">
        <w:rPr>
          <w:rFonts w:ascii="Arial" w:hAnsi="Arial" w:cs="Arial"/>
          <w:b/>
          <w:bCs/>
          <w:sz w:val="20"/>
          <w:szCs w:val="20"/>
        </w:rPr>
        <w:t xml:space="preserve"> Santa Fe. </w:t>
      </w:r>
      <w:r w:rsidR="00BD29AB">
        <w:rPr>
          <w:rFonts w:ascii="Arial" w:hAnsi="Arial" w:cs="Arial"/>
          <w:b/>
          <w:bCs/>
          <w:sz w:val="20"/>
          <w:szCs w:val="20"/>
        </w:rPr>
        <w:t>“</w:t>
      </w:r>
      <w:r w:rsidR="00BD29AB" w:rsidRPr="00BD29AB">
        <w:rPr>
          <w:rFonts w:ascii="Arial" w:hAnsi="Arial" w:cs="Arial"/>
          <w:b/>
          <w:bCs/>
          <w:sz w:val="20"/>
          <w:szCs w:val="20"/>
        </w:rPr>
        <w:t xml:space="preserve">Municipalidad </w:t>
      </w:r>
      <w:r w:rsidR="00BD29AB">
        <w:rPr>
          <w:rFonts w:ascii="Arial" w:hAnsi="Arial" w:cs="Arial"/>
          <w:b/>
          <w:bCs/>
          <w:sz w:val="20"/>
          <w:szCs w:val="20"/>
        </w:rPr>
        <w:t>d</w:t>
      </w:r>
      <w:r w:rsidR="00BD29AB" w:rsidRPr="00BD29AB">
        <w:rPr>
          <w:rFonts w:ascii="Arial" w:hAnsi="Arial" w:cs="Arial"/>
          <w:b/>
          <w:bCs/>
          <w:sz w:val="20"/>
          <w:szCs w:val="20"/>
        </w:rPr>
        <w:t xml:space="preserve">e Rafaela c/ Luque, Juan Andrés -Apremios- S/ Queja </w:t>
      </w:r>
      <w:r w:rsidR="00BD29AB">
        <w:rPr>
          <w:rFonts w:ascii="Arial" w:hAnsi="Arial" w:cs="Arial"/>
          <w:b/>
          <w:bCs/>
          <w:sz w:val="20"/>
          <w:szCs w:val="20"/>
        </w:rPr>
        <w:t>p</w:t>
      </w:r>
      <w:r w:rsidR="00BD29AB" w:rsidRPr="00BD29AB">
        <w:rPr>
          <w:rFonts w:ascii="Arial" w:hAnsi="Arial" w:cs="Arial"/>
          <w:b/>
          <w:bCs/>
          <w:sz w:val="20"/>
          <w:szCs w:val="20"/>
        </w:rPr>
        <w:t xml:space="preserve">or Denegación </w:t>
      </w:r>
      <w:r w:rsidR="00BD29AB">
        <w:rPr>
          <w:rFonts w:ascii="Arial" w:hAnsi="Arial" w:cs="Arial"/>
          <w:b/>
          <w:bCs/>
          <w:sz w:val="20"/>
          <w:szCs w:val="20"/>
        </w:rPr>
        <w:t>d</w:t>
      </w:r>
      <w:r w:rsidR="00BD29AB" w:rsidRPr="00BD29AB">
        <w:rPr>
          <w:rFonts w:ascii="Arial" w:hAnsi="Arial" w:cs="Arial"/>
          <w:b/>
          <w:bCs/>
          <w:sz w:val="20"/>
          <w:szCs w:val="20"/>
        </w:rPr>
        <w:t xml:space="preserve">el Recurso </w:t>
      </w:r>
      <w:r w:rsidR="00BD29AB">
        <w:rPr>
          <w:rFonts w:ascii="Arial" w:hAnsi="Arial" w:cs="Arial"/>
          <w:b/>
          <w:bCs/>
          <w:sz w:val="20"/>
          <w:szCs w:val="20"/>
        </w:rPr>
        <w:t>d</w:t>
      </w:r>
      <w:r w:rsidR="00BD29AB" w:rsidRPr="00BD29AB">
        <w:rPr>
          <w:rFonts w:ascii="Arial" w:hAnsi="Arial" w:cs="Arial"/>
          <w:b/>
          <w:bCs/>
          <w:sz w:val="20"/>
          <w:szCs w:val="20"/>
        </w:rPr>
        <w:t>e Inconstitucionalidad</w:t>
      </w:r>
      <w:r w:rsidR="00BD29AB">
        <w:rPr>
          <w:rFonts w:ascii="Arial" w:hAnsi="Arial" w:cs="Arial"/>
          <w:b/>
          <w:bCs/>
          <w:sz w:val="20"/>
          <w:szCs w:val="20"/>
        </w:rPr>
        <w:t>”. 24/6/2025.</w:t>
      </w:r>
    </w:p>
    <w:p w14:paraId="06B947C8" w14:textId="77777777" w:rsidR="00BD29AB" w:rsidRDefault="00BD29AB" w:rsidP="00BD29AB">
      <w:pPr>
        <w:spacing w:line="360" w:lineRule="atLeast"/>
        <w:jc w:val="both"/>
        <w:rPr>
          <w:rFonts w:ascii="Arial" w:hAnsi="Arial" w:cs="Arial"/>
          <w:sz w:val="20"/>
          <w:szCs w:val="20"/>
        </w:rPr>
      </w:pPr>
      <w:r w:rsidRPr="00BD29AB">
        <w:rPr>
          <w:rFonts w:ascii="Arial" w:hAnsi="Arial" w:cs="Arial"/>
          <w:sz w:val="20"/>
          <w:szCs w:val="20"/>
        </w:rPr>
        <w:t>Surge de las constancias de autos que el Juez de Primera Instancia de Circuito Número 5 de la ciudad de Rafaela, por sentencia 1350, dictada en fecha 17.5.2024, rechazó la excepción de inhabilidad de título y -parcialmente- la de prescripción (cuotas 12 y 13 del convenio de pago por derechos impagos, correspondientes a los períodos 2016/08 y 2016/09), mandando llevar adelante la ejecución por el resto (cuotas 15, 16 y 17, por $1.039,50), con más los intereses establecidos en legal forma y costas (90% a cargo de la demandada y 10% a cargo de la actora).</w:t>
      </w:r>
    </w:p>
    <w:p w14:paraId="5275D429" w14:textId="77777777" w:rsidR="00BD29AB" w:rsidRDefault="00BD29AB" w:rsidP="00BD29AB">
      <w:pPr>
        <w:spacing w:line="360" w:lineRule="atLeast"/>
        <w:jc w:val="both"/>
        <w:rPr>
          <w:rFonts w:ascii="Arial" w:hAnsi="Arial" w:cs="Arial"/>
          <w:sz w:val="20"/>
          <w:szCs w:val="20"/>
        </w:rPr>
      </w:pPr>
      <w:r w:rsidRPr="00BD29AB">
        <w:rPr>
          <w:rFonts w:ascii="Arial" w:hAnsi="Arial" w:cs="Arial"/>
          <w:sz w:val="20"/>
          <w:szCs w:val="20"/>
        </w:rPr>
        <w:t>Contra esa resolución la Municipalidad de Rafaela interpuso recurso de inconstitucionalidad de la ley 7055 por considerarla violatoria de los derechos y garantías de raigambre constitucional que invoca.</w:t>
      </w:r>
      <w:r w:rsidRPr="00BD29AB">
        <w:t xml:space="preserve"> </w:t>
      </w:r>
      <w:r w:rsidRPr="00BD29AB">
        <w:rPr>
          <w:rFonts w:ascii="Arial" w:hAnsi="Arial" w:cs="Arial"/>
          <w:sz w:val="20"/>
          <w:szCs w:val="20"/>
        </w:rPr>
        <w:t>Argumentó sobre la procedencia de la impugnación sosteniendo que, al acoger parcialmente la excepción de prescripción, el Magistrado arremetió contra la Constitución de la Provincia de Santa Fe y contra la nacional (especialmente arts. 5, 121 y 123), desconociendo a su vez toda la normativa pública provincial vigente, la autonomía tributaria provincial (y municipal) reconocida constitucionalmente y las facultades no delegadas a la Nación expresamente previstas por los artículos 55 -incisos 19 y 27- y 107 de la Constitución de Santa Fe y los artículos 75 -inciso 12- y 121 de la nacional.</w:t>
      </w:r>
    </w:p>
    <w:p w14:paraId="43F725A2" w14:textId="606B7BA8" w:rsidR="00BD29AB" w:rsidRPr="00BD29AB" w:rsidRDefault="00BD29AB" w:rsidP="00BD29AB">
      <w:pPr>
        <w:spacing w:line="360" w:lineRule="atLeast"/>
        <w:jc w:val="both"/>
        <w:rPr>
          <w:rFonts w:ascii="Arial" w:hAnsi="Arial" w:cs="Arial"/>
          <w:sz w:val="20"/>
          <w:szCs w:val="20"/>
        </w:rPr>
      </w:pPr>
      <w:r w:rsidRPr="00BD29AB">
        <w:rPr>
          <w:rFonts w:ascii="Arial" w:hAnsi="Arial" w:cs="Arial"/>
          <w:sz w:val="20"/>
          <w:szCs w:val="20"/>
        </w:rPr>
        <w:t>La Corte Suprema de Justicia de la Provincia</w:t>
      </w:r>
      <w:r>
        <w:rPr>
          <w:rFonts w:ascii="Arial" w:hAnsi="Arial" w:cs="Arial"/>
          <w:sz w:val="20"/>
          <w:szCs w:val="20"/>
        </w:rPr>
        <w:t xml:space="preserve">, resuelve </w:t>
      </w:r>
      <w:r w:rsidRPr="00BD29AB">
        <w:rPr>
          <w:rFonts w:ascii="Arial" w:hAnsi="Arial" w:cs="Arial"/>
          <w:sz w:val="20"/>
          <w:szCs w:val="20"/>
        </w:rPr>
        <w:t>admitir la queja interpuesta por la demandada y, en consecuencia, conceder el recurso de inconstitucionalidad.</w:t>
      </w:r>
    </w:p>
    <w:p w14:paraId="3FFF8F62" w14:textId="05FE82F6" w:rsidR="00354882" w:rsidRDefault="00354882" w:rsidP="007374D4">
      <w:pPr>
        <w:pStyle w:val="Prrafodelista"/>
        <w:spacing w:line="360" w:lineRule="atLeast"/>
        <w:ind w:left="357"/>
        <w:jc w:val="both"/>
        <w:rPr>
          <w:rFonts w:ascii="Arial" w:hAnsi="Arial" w:cs="Arial"/>
          <w:sz w:val="20"/>
          <w:szCs w:val="20"/>
        </w:rPr>
      </w:pPr>
    </w:p>
    <w:p w14:paraId="5E0707E3" w14:textId="77777777" w:rsidR="00AA0950" w:rsidRPr="00AA0950" w:rsidRDefault="00AA0950" w:rsidP="00AA0950">
      <w:pPr>
        <w:spacing w:line="360" w:lineRule="atLeast"/>
        <w:jc w:val="both"/>
        <w:rPr>
          <w:rFonts w:ascii="Arial" w:hAnsi="Arial" w:cs="Arial"/>
          <w:sz w:val="20"/>
          <w:szCs w:val="20"/>
        </w:rPr>
      </w:pPr>
    </w:p>
    <w:p w14:paraId="14C956F5" w14:textId="78ECC6C4" w:rsidR="007374D4" w:rsidRPr="004A0516" w:rsidRDefault="007374D4" w:rsidP="007374D4">
      <w:pPr>
        <w:pStyle w:val="Prrafodelista"/>
        <w:numPr>
          <w:ilvl w:val="0"/>
          <w:numId w:val="4"/>
        </w:numPr>
        <w:spacing w:line="360" w:lineRule="atLeast"/>
        <w:jc w:val="both"/>
        <w:rPr>
          <w:rFonts w:ascii="Arial" w:hAnsi="Arial" w:cs="Arial"/>
          <w:sz w:val="20"/>
          <w:szCs w:val="20"/>
        </w:rPr>
      </w:pPr>
      <w:r>
        <w:rPr>
          <w:rFonts w:ascii="Arial" w:hAnsi="Arial" w:cs="Arial"/>
          <w:b/>
          <w:bCs/>
          <w:sz w:val="20"/>
          <w:szCs w:val="20"/>
        </w:rPr>
        <w:lastRenderedPageBreak/>
        <w:t xml:space="preserve">Cámara </w:t>
      </w:r>
      <w:r w:rsidR="00350DD3">
        <w:rPr>
          <w:rFonts w:ascii="Arial" w:hAnsi="Arial" w:cs="Arial"/>
          <w:b/>
          <w:bCs/>
          <w:sz w:val="20"/>
          <w:szCs w:val="20"/>
        </w:rPr>
        <w:t>Federal</w:t>
      </w:r>
      <w:r>
        <w:rPr>
          <w:rFonts w:ascii="Arial" w:hAnsi="Arial" w:cs="Arial"/>
          <w:b/>
          <w:bCs/>
          <w:sz w:val="20"/>
          <w:szCs w:val="20"/>
        </w:rPr>
        <w:t xml:space="preserve"> de Posadas</w:t>
      </w:r>
      <w:r w:rsidR="00EB6B71" w:rsidRPr="007D6EEF">
        <w:rPr>
          <w:rFonts w:ascii="Arial" w:hAnsi="Arial" w:cs="Arial"/>
          <w:b/>
          <w:bCs/>
          <w:sz w:val="20"/>
          <w:szCs w:val="20"/>
        </w:rPr>
        <w:t>. “</w:t>
      </w:r>
      <w:r>
        <w:rPr>
          <w:rFonts w:ascii="Arial" w:hAnsi="Arial" w:cs="Arial"/>
          <w:b/>
          <w:bCs/>
          <w:sz w:val="20"/>
          <w:szCs w:val="20"/>
        </w:rPr>
        <w:t>Caminos del Paraná SA contra Municipalidad de Santa Ana s/ acción meramente declarativa de derecho</w:t>
      </w:r>
      <w:r w:rsidR="007D6EEF">
        <w:rPr>
          <w:rFonts w:ascii="Arial" w:hAnsi="Arial" w:cs="Arial"/>
          <w:b/>
          <w:bCs/>
          <w:sz w:val="20"/>
          <w:szCs w:val="20"/>
        </w:rPr>
        <w:t>”</w:t>
      </w:r>
      <w:r w:rsidR="008F1327" w:rsidRPr="007D6EEF">
        <w:rPr>
          <w:rFonts w:ascii="Arial" w:hAnsi="Arial" w:cs="Arial"/>
          <w:b/>
          <w:bCs/>
          <w:sz w:val="20"/>
          <w:szCs w:val="20"/>
        </w:rPr>
        <w:t xml:space="preserve">. </w:t>
      </w:r>
      <w:r>
        <w:rPr>
          <w:rFonts w:ascii="Arial" w:hAnsi="Arial" w:cs="Arial"/>
          <w:b/>
          <w:bCs/>
          <w:sz w:val="20"/>
          <w:szCs w:val="20"/>
        </w:rPr>
        <w:t>05</w:t>
      </w:r>
      <w:r w:rsidR="007D6EEF">
        <w:rPr>
          <w:rFonts w:ascii="Arial" w:hAnsi="Arial" w:cs="Arial"/>
          <w:b/>
          <w:bCs/>
          <w:sz w:val="20"/>
          <w:szCs w:val="20"/>
        </w:rPr>
        <w:t>/0</w:t>
      </w:r>
      <w:r>
        <w:rPr>
          <w:rFonts w:ascii="Arial" w:hAnsi="Arial" w:cs="Arial"/>
          <w:b/>
          <w:bCs/>
          <w:sz w:val="20"/>
          <w:szCs w:val="20"/>
        </w:rPr>
        <w:t>6</w:t>
      </w:r>
      <w:r w:rsidR="007D6EEF">
        <w:rPr>
          <w:rFonts w:ascii="Arial" w:hAnsi="Arial" w:cs="Arial"/>
          <w:b/>
          <w:bCs/>
          <w:sz w:val="20"/>
          <w:szCs w:val="20"/>
        </w:rPr>
        <w:t xml:space="preserve">/2025. </w:t>
      </w:r>
    </w:p>
    <w:p w14:paraId="54AD2C1F" w14:textId="6ECD7A84" w:rsidR="00C0421E" w:rsidRDefault="00BD4A9D" w:rsidP="004A0516">
      <w:pPr>
        <w:spacing w:line="360" w:lineRule="atLeast"/>
        <w:jc w:val="both"/>
        <w:rPr>
          <w:rFonts w:ascii="Arial" w:hAnsi="Arial" w:cs="Arial"/>
          <w:sz w:val="20"/>
          <w:szCs w:val="20"/>
        </w:rPr>
      </w:pPr>
      <w:r>
        <w:rPr>
          <w:rFonts w:ascii="Arial" w:hAnsi="Arial" w:cs="Arial"/>
          <w:sz w:val="20"/>
          <w:szCs w:val="20"/>
        </w:rPr>
        <w:t xml:space="preserve">Se solicitó la </w:t>
      </w:r>
      <w:r w:rsidR="00C0421E">
        <w:rPr>
          <w:rFonts w:ascii="Arial" w:hAnsi="Arial" w:cs="Arial"/>
          <w:sz w:val="20"/>
          <w:szCs w:val="20"/>
        </w:rPr>
        <w:t xml:space="preserve">inaplicabilidad de la </w:t>
      </w:r>
      <w:r w:rsidR="00C0421E" w:rsidRPr="00C0421E">
        <w:rPr>
          <w:rFonts w:ascii="Arial" w:hAnsi="Arial" w:cs="Arial"/>
          <w:sz w:val="20"/>
          <w:szCs w:val="20"/>
        </w:rPr>
        <w:t>Tasa de Registro, Inspección y Servicios de Contralor</w:t>
      </w:r>
      <w:r w:rsidR="00C0421E">
        <w:rPr>
          <w:rFonts w:ascii="Arial" w:hAnsi="Arial" w:cs="Arial"/>
          <w:sz w:val="20"/>
          <w:szCs w:val="20"/>
        </w:rPr>
        <w:t xml:space="preserve">. </w:t>
      </w:r>
    </w:p>
    <w:p w14:paraId="3D5788A1" w14:textId="335A7630" w:rsidR="008F106E" w:rsidRDefault="008F106E" w:rsidP="004A0516">
      <w:pPr>
        <w:spacing w:line="360" w:lineRule="atLeast"/>
        <w:jc w:val="both"/>
        <w:rPr>
          <w:rFonts w:ascii="Arial" w:hAnsi="Arial" w:cs="Arial"/>
          <w:sz w:val="20"/>
          <w:szCs w:val="20"/>
        </w:rPr>
      </w:pPr>
      <w:r>
        <w:rPr>
          <w:rFonts w:ascii="Arial" w:hAnsi="Arial" w:cs="Arial"/>
          <w:sz w:val="20"/>
          <w:szCs w:val="20"/>
        </w:rPr>
        <w:t>Se hace lugar a la demanda</w:t>
      </w:r>
      <w:r w:rsidR="00CE2AF3">
        <w:rPr>
          <w:rFonts w:ascii="Arial" w:hAnsi="Arial" w:cs="Arial"/>
          <w:sz w:val="20"/>
          <w:szCs w:val="20"/>
        </w:rPr>
        <w:t xml:space="preserve"> dado que </w:t>
      </w:r>
      <w:r w:rsidR="00CE2AF3" w:rsidRPr="00CE2AF3">
        <w:rPr>
          <w:rFonts w:ascii="Arial" w:hAnsi="Arial" w:cs="Arial"/>
          <w:sz w:val="20"/>
          <w:szCs w:val="20"/>
        </w:rPr>
        <w:t>las concesiones de los corredores viales nacionales cuentan con su propio organismo de control, bajo la órbita de la Dirección Nacional de Vialidad, dependiente del Ministerio de Economía, por lo que la Municipalidad de Santa Ana carece de la potestad necesaria para ejercer controles sobre las estaciones de peaje, en la medida en que éstas no excedan del normal ejercicio de sus funciones y condiciones de explotación, y que ello además afecte intereses municipales.</w:t>
      </w:r>
    </w:p>
    <w:p w14:paraId="47B914EF" w14:textId="77777777" w:rsidR="008F1327" w:rsidRDefault="008F1327" w:rsidP="008F1327">
      <w:pPr>
        <w:pStyle w:val="Prrafodelista"/>
        <w:spacing w:line="360" w:lineRule="atLeast"/>
        <w:ind w:left="360"/>
        <w:jc w:val="both"/>
        <w:rPr>
          <w:rFonts w:ascii="Arial" w:hAnsi="Arial" w:cs="Arial"/>
          <w:b/>
          <w:bCs/>
          <w:sz w:val="20"/>
          <w:szCs w:val="20"/>
        </w:rPr>
      </w:pPr>
    </w:p>
    <w:p w14:paraId="0F4F12CC" w14:textId="34F827C9" w:rsidR="00E34CC3" w:rsidRPr="00E34CC3" w:rsidRDefault="00E34CC3" w:rsidP="00B3571A">
      <w:pPr>
        <w:pStyle w:val="Prrafodelista"/>
        <w:numPr>
          <w:ilvl w:val="0"/>
          <w:numId w:val="4"/>
        </w:numPr>
        <w:spacing w:line="360" w:lineRule="atLeast"/>
        <w:jc w:val="both"/>
        <w:rPr>
          <w:rFonts w:ascii="Arial" w:hAnsi="Arial" w:cs="Arial"/>
          <w:b/>
          <w:bCs/>
          <w:sz w:val="20"/>
          <w:szCs w:val="20"/>
        </w:rPr>
      </w:pPr>
      <w:bookmarkStart w:id="2" w:name="_Hlk197989170"/>
      <w:r w:rsidRPr="00E34CC3">
        <w:rPr>
          <w:rFonts w:ascii="Arial" w:hAnsi="Arial" w:cs="Arial"/>
          <w:b/>
          <w:bCs/>
          <w:sz w:val="20"/>
          <w:szCs w:val="20"/>
        </w:rPr>
        <w:t>Cámara Federal de Posadas.</w:t>
      </w:r>
      <w:r w:rsidRPr="00E34CC3">
        <w:rPr>
          <w:b/>
          <w:bCs/>
        </w:rPr>
        <w:t xml:space="preserve"> “</w:t>
      </w:r>
      <w:r w:rsidRPr="00E34CC3">
        <w:rPr>
          <w:rFonts w:ascii="Arial" w:hAnsi="Arial" w:cs="Arial"/>
          <w:b/>
          <w:bCs/>
          <w:sz w:val="20"/>
          <w:szCs w:val="20"/>
        </w:rPr>
        <w:t>Opción Seguros S.A. c/ Municipalidad de Posadas S/Acción Meramente Declarativa De Inconstitucionalidad”. 27/08/2025.</w:t>
      </w:r>
    </w:p>
    <w:p w14:paraId="3E558AF1" w14:textId="61AADC5B" w:rsidR="003337AE" w:rsidRDefault="002722DF" w:rsidP="00E34CC3">
      <w:pPr>
        <w:spacing w:line="360" w:lineRule="atLeast"/>
        <w:jc w:val="both"/>
        <w:rPr>
          <w:rFonts w:ascii="Arial" w:hAnsi="Arial" w:cs="Arial"/>
          <w:sz w:val="20"/>
          <w:szCs w:val="20"/>
        </w:rPr>
      </w:pPr>
      <w:r>
        <w:rPr>
          <w:rFonts w:ascii="Arial" w:hAnsi="Arial" w:cs="Arial"/>
          <w:sz w:val="20"/>
          <w:szCs w:val="20"/>
        </w:rPr>
        <w:t xml:space="preserve">Acción declarativa. </w:t>
      </w:r>
      <w:r w:rsidR="00AE5847">
        <w:rPr>
          <w:rFonts w:ascii="Arial" w:hAnsi="Arial" w:cs="Arial"/>
          <w:sz w:val="20"/>
          <w:szCs w:val="20"/>
        </w:rPr>
        <w:t>Se declara procedente la c</w:t>
      </w:r>
      <w:r>
        <w:rPr>
          <w:rFonts w:ascii="Arial" w:hAnsi="Arial" w:cs="Arial"/>
          <w:sz w:val="20"/>
          <w:szCs w:val="20"/>
        </w:rPr>
        <w:t>ompetencia federal.</w:t>
      </w:r>
    </w:p>
    <w:p w14:paraId="0A4B725F" w14:textId="5EB75623" w:rsidR="002722DF" w:rsidRDefault="00AE5847" w:rsidP="00E34CC3">
      <w:pPr>
        <w:spacing w:line="360" w:lineRule="atLeast"/>
        <w:jc w:val="both"/>
        <w:rPr>
          <w:rFonts w:ascii="Arial" w:hAnsi="Arial" w:cs="Arial"/>
          <w:sz w:val="20"/>
          <w:szCs w:val="20"/>
        </w:rPr>
      </w:pPr>
      <w:r>
        <w:rPr>
          <w:rFonts w:ascii="Arial" w:hAnsi="Arial" w:cs="Arial"/>
          <w:sz w:val="20"/>
          <w:szCs w:val="20"/>
        </w:rPr>
        <w:t>S</w:t>
      </w:r>
      <w:r w:rsidRPr="00AE5847">
        <w:rPr>
          <w:rFonts w:ascii="Arial" w:hAnsi="Arial" w:cs="Arial"/>
          <w:sz w:val="20"/>
          <w:szCs w:val="20"/>
        </w:rPr>
        <w:t>e desprende de los términos de la demanda la parte actora procura obtener que se despeje: a) el estado de incertidumbre referido al Derecho de Inspección, Registro y Servicio de Control (“DIRSC”) de los períodos 01/2017 a 08/2023 establecido por la Municipalidad de Posadas, en la medida que interfiere en el Régimen Federal de las Entidades Aseguradoras, cuya actividad se encuentra regulada por la Ley federal N° 20.091 y compromete, por ende, el poder de policía de la Superintendencia de Seguros de la Nación, dependiente del Ministerio de Economía de la Nación.</w:t>
      </w:r>
    </w:p>
    <w:p w14:paraId="120D76C8" w14:textId="77777777" w:rsidR="00E34CC3" w:rsidRPr="00E34CC3" w:rsidRDefault="00E34CC3" w:rsidP="00E34CC3">
      <w:pPr>
        <w:pStyle w:val="Prrafodelista"/>
        <w:spacing w:line="360" w:lineRule="atLeast"/>
        <w:ind w:left="360"/>
        <w:jc w:val="both"/>
        <w:rPr>
          <w:rFonts w:ascii="Arial" w:hAnsi="Arial" w:cs="Arial"/>
          <w:sz w:val="20"/>
          <w:szCs w:val="20"/>
        </w:rPr>
      </w:pPr>
    </w:p>
    <w:p w14:paraId="27260B58" w14:textId="5C867D0E" w:rsidR="00DF1B84" w:rsidRDefault="007374D4" w:rsidP="00F14CAF">
      <w:pPr>
        <w:pStyle w:val="Prrafodelista"/>
        <w:numPr>
          <w:ilvl w:val="0"/>
          <w:numId w:val="4"/>
        </w:numPr>
        <w:spacing w:line="360" w:lineRule="atLeast"/>
        <w:jc w:val="both"/>
        <w:rPr>
          <w:rFonts w:ascii="Arial" w:hAnsi="Arial" w:cs="Arial"/>
          <w:b/>
          <w:bCs/>
          <w:sz w:val="20"/>
          <w:szCs w:val="20"/>
        </w:rPr>
      </w:pPr>
      <w:r w:rsidRPr="00DF1B84">
        <w:rPr>
          <w:rFonts w:ascii="Arial" w:hAnsi="Arial" w:cs="Arial"/>
          <w:b/>
          <w:bCs/>
          <w:sz w:val="20"/>
          <w:szCs w:val="20"/>
        </w:rPr>
        <w:t xml:space="preserve">Juzgado </w:t>
      </w:r>
      <w:bookmarkEnd w:id="2"/>
      <w:r w:rsidR="00DF1B84" w:rsidRPr="00DF1B84">
        <w:rPr>
          <w:rFonts w:ascii="Arial" w:hAnsi="Arial" w:cs="Arial"/>
          <w:b/>
          <w:bCs/>
          <w:sz w:val="20"/>
          <w:szCs w:val="20"/>
        </w:rPr>
        <w:t>Federal de Quilmes.</w:t>
      </w:r>
      <w:r w:rsidR="00DF1B84" w:rsidRPr="00DF1B84">
        <w:t xml:space="preserve"> </w:t>
      </w:r>
      <w:r w:rsidR="00DF1B84">
        <w:t>“</w:t>
      </w:r>
      <w:r w:rsidR="00DF1B84" w:rsidRPr="00DF1B84">
        <w:rPr>
          <w:rFonts w:ascii="Arial" w:hAnsi="Arial" w:cs="Arial"/>
          <w:b/>
          <w:bCs/>
          <w:sz w:val="20"/>
          <w:szCs w:val="20"/>
        </w:rPr>
        <w:t xml:space="preserve">Asociación </w:t>
      </w:r>
      <w:r w:rsidR="00DF1B84">
        <w:rPr>
          <w:rFonts w:ascii="Arial" w:hAnsi="Arial" w:cs="Arial"/>
          <w:b/>
          <w:bCs/>
          <w:sz w:val="20"/>
          <w:szCs w:val="20"/>
        </w:rPr>
        <w:t>d</w:t>
      </w:r>
      <w:r w:rsidR="00DF1B84" w:rsidRPr="00DF1B84">
        <w:rPr>
          <w:rFonts w:ascii="Arial" w:hAnsi="Arial" w:cs="Arial"/>
          <w:b/>
          <w:bCs/>
          <w:sz w:val="20"/>
          <w:szCs w:val="20"/>
        </w:rPr>
        <w:t xml:space="preserve">e Bancos Argentinos (ADEBA) y otro c/ Municipalidad </w:t>
      </w:r>
      <w:r w:rsidR="00DF1B84">
        <w:rPr>
          <w:rFonts w:ascii="Arial" w:hAnsi="Arial" w:cs="Arial"/>
          <w:b/>
          <w:bCs/>
          <w:sz w:val="20"/>
          <w:szCs w:val="20"/>
        </w:rPr>
        <w:t>d</w:t>
      </w:r>
      <w:r w:rsidR="00DF1B84" w:rsidRPr="00DF1B84">
        <w:rPr>
          <w:rFonts w:ascii="Arial" w:hAnsi="Arial" w:cs="Arial"/>
          <w:b/>
          <w:bCs/>
          <w:sz w:val="20"/>
          <w:szCs w:val="20"/>
        </w:rPr>
        <w:t>e Avellaneda s/A</w:t>
      </w:r>
      <w:r w:rsidR="00DF1B84">
        <w:rPr>
          <w:rFonts w:ascii="Arial" w:hAnsi="Arial" w:cs="Arial"/>
          <w:b/>
          <w:bCs/>
          <w:sz w:val="20"/>
          <w:szCs w:val="20"/>
        </w:rPr>
        <w:t xml:space="preserve">cción declarativa de certeza”. 14/03/2025. Comenta </w:t>
      </w:r>
      <w:r w:rsidR="0081634F" w:rsidRPr="0081634F">
        <w:rPr>
          <w:rFonts w:ascii="Arial" w:hAnsi="Arial" w:cs="Arial"/>
          <w:b/>
          <w:bCs/>
          <w:sz w:val="20"/>
          <w:szCs w:val="20"/>
        </w:rPr>
        <w:t xml:space="preserve">Nicolas Nogueira </w:t>
      </w:r>
      <w:proofErr w:type="spellStart"/>
      <w:r w:rsidR="0081634F" w:rsidRPr="0081634F">
        <w:rPr>
          <w:rFonts w:ascii="Arial" w:hAnsi="Arial" w:cs="Arial"/>
          <w:b/>
          <w:bCs/>
          <w:sz w:val="20"/>
          <w:szCs w:val="20"/>
        </w:rPr>
        <w:t>Castellini</w:t>
      </w:r>
      <w:proofErr w:type="spellEnd"/>
      <w:r w:rsidR="0081634F">
        <w:rPr>
          <w:rFonts w:ascii="Arial" w:hAnsi="Arial" w:cs="Arial"/>
          <w:b/>
          <w:bCs/>
          <w:sz w:val="20"/>
          <w:szCs w:val="20"/>
        </w:rPr>
        <w:t>.</w:t>
      </w:r>
    </w:p>
    <w:p w14:paraId="29F92FB8" w14:textId="28515B3E" w:rsidR="0081634F" w:rsidRDefault="0081634F" w:rsidP="0081634F">
      <w:pPr>
        <w:spacing w:line="360" w:lineRule="atLeast"/>
        <w:jc w:val="both"/>
        <w:rPr>
          <w:rFonts w:ascii="Arial" w:hAnsi="Arial" w:cs="Arial"/>
          <w:sz w:val="20"/>
          <w:szCs w:val="20"/>
        </w:rPr>
      </w:pPr>
      <w:r w:rsidRPr="0081634F">
        <w:rPr>
          <w:rFonts w:ascii="Arial" w:hAnsi="Arial" w:cs="Arial"/>
          <w:sz w:val="20"/>
          <w:szCs w:val="20"/>
        </w:rPr>
        <w:t xml:space="preserve">En el presente caso, </w:t>
      </w:r>
      <w:r w:rsidRPr="0081634F">
        <w:rPr>
          <w:rFonts w:ascii="Arial" w:hAnsi="Arial" w:cs="Arial"/>
          <w:b/>
          <w:bCs/>
          <w:sz w:val="20"/>
          <w:szCs w:val="20"/>
        </w:rPr>
        <w:t>se hace lugar a la medida cautelar</w:t>
      </w:r>
      <w:r w:rsidRPr="0081634F">
        <w:rPr>
          <w:rFonts w:ascii="Arial" w:hAnsi="Arial" w:cs="Arial"/>
          <w:sz w:val="20"/>
          <w:szCs w:val="20"/>
        </w:rPr>
        <w:t xml:space="preserve"> innovativa solicitada por la parte actora,</w:t>
      </w:r>
      <w:r w:rsidR="00757000" w:rsidRPr="00757000">
        <w:t xml:space="preserve"> </w:t>
      </w:r>
      <w:r w:rsidR="00757000" w:rsidRPr="00757000">
        <w:rPr>
          <w:rFonts w:ascii="Arial" w:hAnsi="Arial" w:cs="Arial"/>
          <w:sz w:val="20"/>
          <w:szCs w:val="20"/>
        </w:rPr>
        <w:t xml:space="preserve">para reducir el valor de la TSH </w:t>
      </w:r>
      <w:r w:rsidR="00757000">
        <w:rPr>
          <w:rFonts w:ascii="Arial" w:hAnsi="Arial" w:cs="Arial"/>
          <w:sz w:val="20"/>
          <w:szCs w:val="20"/>
        </w:rPr>
        <w:t xml:space="preserve">al pretender </w:t>
      </w:r>
      <w:r w:rsidR="00757000" w:rsidRPr="00757000">
        <w:rPr>
          <w:rFonts w:ascii="Arial" w:hAnsi="Arial" w:cs="Arial"/>
          <w:sz w:val="20"/>
          <w:szCs w:val="20"/>
        </w:rPr>
        <w:t>conforma</w:t>
      </w:r>
      <w:r w:rsidR="00757000">
        <w:rPr>
          <w:rFonts w:ascii="Arial" w:hAnsi="Arial" w:cs="Arial"/>
          <w:sz w:val="20"/>
          <w:szCs w:val="20"/>
        </w:rPr>
        <w:t>r</w:t>
      </w:r>
      <w:r w:rsidR="00757000" w:rsidRPr="00757000">
        <w:rPr>
          <w:rFonts w:ascii="Arial" w:hAnsi="Arial" w:cs="Arial"/>
          <w:sz w:val="20"/>
          <w:szCs w:val="20"/>
        </w:rPr>
        <w:t xml:space="preserve"> la base imponible por </w:t>
      </w:r>
      <w:r w:rsidR="00757000">
        <w:rPr>
          <w:rFonts w:ascii="Arial" w:hAnsi="Arial" w:cs="Arial"/>
          <w:sz w:val="20"/>
          <w:szCs w:val="20"/>
        </w:rPr>
        <w:t xml:space="preserve">el </w:t>
      </w:r>
      <w:r w:rsidR="00757000" w:rsidRPr="00757000">
        <w:rPr>
          <w:rFonts w:ascii="Arial" w:hAnsi="Arial" w:cs="Arial"/>
          <w:sz w:val="20"/>
          <w:szCs w:val="20"/>
        </w:rPr>
        <w:t>spread bancario y no por</w:t>
      </w:r>
      <w:r w:rsidR="00757000">
        <w:rPr>
          <w:rFonts w:ascii="Arial" w:hAnsi="Arial" w:cs="Arial"/>
          <w:sz w:val="20"/>
          <w:szCs w:val="20"/>
        </w:rPr>
        <w:t xml:space="preserve"> el</w:t>
      </w:r>
      <w:r w:rsidR="00757000" w:rsidRPr="00757000">
        <w:rPr>
          <w:rFonts w:ascii="Arial" w:hAnsi="Arial" w:cs="Arial"/>
          <w:sz w:val="20"/>
          <w:szCs w:val="20"/>
        </w:rPr>
        <w:t xml:space="preserve"> haber de la</w:t>
      </w:r>
      <w:r w:rsidR="00757000">
        <w:rPr>
          <w:rFonts w:ascii="Arial" w:hAnsi="Arial" w:cs="Arial"/>
          <w:sz w:val="20"/>
          <w:szCs w:val="20"/>
        </w:rPr>
        <w:t>s</w:t>
      </w:r>
      <w:r w:rsidR="00757000" w:rsidRPr="00757000">
        <w:rPr>
          <w:rFonts w:ascii="Arial" w:hAnsi="Arial" w:cs="Arial"/>
          <w:sz w:val="20"/>
          <w:szCs w:val="20"/>
        </w:rPr>
        <w:t xml:space="preserve"> cuenta</w:t>
      </w:r>
      <w:r w:rsidR="00757000">
        <w:rPr>
          <w:rFonts w:ascii="Arial" w:hAnsi="Arial" w:cs="Arial"/>
          <w:sz w:val="20"/>
          <w:szCs w:val="20"/>
        </w:rPr>
        <w:t>s</w:t>
      </w:r>
      <w:r w:rsidR="00757000" w:rsidRPr="00757000">
        <w:rPr>
          <w:rFonts w:ascii="Arial" w:hAnsi="Arial" w:cs="Arial"/>
          <w:sz w:val="20"/>
          <w:szCs w:val="20"/>
        </w:rPr>
        <w:t xml:space="preserve"> de resultados</w:t>
      </w:r>
      <w:r w:rsidR="00757000">
        <w:rPr>
          <w:rFonts w:ascii="Arial" w:hAnsi="Arial" w:cs="Arial"/>
          <w:sz w:val="20"/>
          <w:szCs w:val="20"/>
        </w:rPr>
        <w:t>,</w:t>
      </w:r>
      <w:r w:rsidRPr="0081634F">
        <w:rPr>
          <w:rFonts w:ascii="Arial" w:hAnsi="Arial" w:cs="Arial"/>
          <w:sz w:val="20"/>
          <w:szCs w:val="20"/>
        </w:rPr>
        <w:t xml:space="preserve"> ordenando que respecto de: Banco Macro S.A., Banco de Galicia y Buenos Aires S.A.U., Banco </w:t>
      </w:r>
      <w:proofErr w:type="spellStart"/>
      <w:r w:rsidRPr="0081634F">
        <w:rPr>
          <w:rFonts w:ascii="Arial" w:hAnsi="Arial" w:cs="Arial"/>
          <w:sz w:val="20"/>
          <w:szCs w:val="20"/>
        </w:rPr>
        <w:t>Comafi</w:t>
      </w:r>
      <w:proofErr w:type="spellEnd"/>
      <w:r w:rsidRPr="0081634F">
        <w:rPr>
          <w:rFonts w:ascii="Arial" w:hAnsi="Arial" w:cs="Arial"/>
          <w:sz w:val="20"/>
          <w:szCs w:val="20"/>
        </w:rPr>
        <w:t xml:space="preserve"> S.A., HSBC Bank Argentina S.A., Banco Patagonia S.A., Banco BBVA Argentina S.A., Banco Santander Argentina S.A. y Banco Piano S.A, en el plazo de tres (3) días y hasta tanto se resuelva la presente la acción, la Municipalidad de Avellaneda y/o a cualquiera de sus organismos: a) suspendan la aplicación del artículo 183 de la Ordenanza Fiscal para el ejercicio 2024 (Ordenanza nro. 30.476 del 30/11/2023 con la modificatoria de la Ordenanza nro.30.644 del 25/04/2024) y/o de toda aquella que se emita en el futuro en lo que se refiere a </w:t>
      </w:r>
      <w:r w:rsidRPr="0081634F">
        <w:rPr>
          <w:rFonts w:ascii="Arial" w:hAnsi="Arial" w:cs="Arial"/>
          <w:b/>
          <w:bCs/>
          <w:sz w:val="20"/>
          <w:szCs w:val="20"/>
        </w:rPr>
        <w:t>la pretensión de que la base imponible de la TSH esté constituida por el total de la suma del haber de la cuenta de resultados sin que se admita deducciones</w:t>
      </w:r>
      <w:r>
        <w:rPr>
          <w:rFonts w:ascii="Arial" w:hAnsi="Arial" w:cs="Arial"/>
          <w:sz w:val="20"/>
          <w:szCs w:val="20"/>
        </w:rPr>
        <w:t>…</w:t>
      </w:r>
      <w:r w:rsidRPr="0081634F">
        <w:t xml:space="preserve"> </w:t>
      </w:r>
      <w:r w:rsidRPr="0081634F">
        <w:rPr>
          <w:rFonts w:ascii="Arial" w:hAnsi="Arial" w:cs="Arial"/>
          <w:sz w:val="20"/>
          <w:szCs w:val="20"/>
        </w:rPr>
        <w:t>d) habiliten el pago de la TSH mediante la</w:t>
      </w:r>
      <w:r>
        <w:rPr>
          <w:rFonts w:ascii="Arial" w:hAnsi="Arial" w:cs="Arial"/>
          <w:sz w:val="20"/>
          <w:szCs w:val="20"/>
        </w:rPr>
        <w:t xml:space="preserve"> </w:t>
      </w:r>
      <w:r w:rsidRPr="0081634F">
        <w:rPr>
          <w:rFonts w:ascii="Arial" w:hAnsi="Arial" w:cs="Arial"/>
          <w:sz w:val="20"/>
          <w:szCs w:val="20"/>
        </w:rPr>
        <w:t>conformación de la base imponible con los ingresos de los bancos y la deducción de los</w:t>
      </w:r>
      <w:r>
        <w:rPr>
          <w:rFonts w:ascii="Arial" w:hAnsi="Arial" w:cs="Arial"/>
          <w:sz w:val="20"/>
          <w:szCs w:val="20"/>
        </w:rPr>
        <w:t xml:space="preserve"> </w:t>
      </w:r>
      <w:r w:rsidRPr="0081634F">
        <w:rPr>
          <w:rFonts w:ascii="Arial" w:hAnsi="Arial" w:cs="Arial"/>
          <w:sz w:val="20"/>
          <w:szCs w:val="20"/>
        </w:rPr>
        <w:t xml:space="preserve">intereses y </w:t>
      </w:r>
      <w:r w:rsidRPr="0081634F">
        <w:rPr>
          <w:rFonts w:ascii="Arial" w:hAnsi="Arial" w:cs="Arial"/>
          <w:sz w:val="20"/>
          <w:szCs w:val="20"/>
        </w:rPr>
        <w:lastRenderedPageBreak/>
        <w:t>actualizaciones pasivas, (conforme Ordenanza Fiscal para el año 2023 -</w:t>
      </w:r>
      <w:r>
        <w:rPr>
          <w:rFonts w:ascii="Arial" w:hAnsi="Arial" w:cs="Arial"/>
          <w:sz w:val="20"/>
          <w:szCs w:val="20"/>
        </w:rPr>
        <w:t xml:space="preserve"> </w:t>
      </w:r>
      <w:r w:rsidRPr="0081634F">
        <w:rPr>
          <w:rFonts w:ascii="Arial" w:hAnsi="Arial" w:cs="Arial"/>
          <w:sz w:val="20"/>
          <w:szCs w:val="20"/>
        </w:rPr>
        <w:t>Ordenanza nro. 29.911 del 24/11/2022), sin que ello en modo alguno signifique adelanto de</w:t>
      </w:r>
      <w:r>
        <w:rPr>
          <w:rFonts w:ascii="Arial" w:hAnsi="Arial" w:cs="Arial"/>
          <w:sz w:val="20"/>
          <w:szCs w:val="20"/>
        </w:rPr>
        <w:t xml:space="preserve"> </w:t>
      </w:r>
      <w:r w:rsidRPr="0081634F">
        <w:rPr>
          <w:rFonts w:ascii="Arial" w:hAnsi="Arial" w:cs="Arial"/>
          <w:sz w:val="20"/>
          <w:szCs w:val="20"/>
        </w:rPr>
        <w:t>opinión sobre el fondo del asunto, siendo el resultado de un análisis superficial propio del</w:t>
      </w:r>
      <w:r>
        <w:rPr>
          <w:rFonts w:ascii="Arial" w:hAnsi="Arial" w:cs="Arial"/>
          <w:sz w:val="20"/>
          <w:szCs w:val="20"/>
        </w:rPr>
        <w:t xml:space="preserve"> </w:t>
      </w:r>
      <w:r w:rsidRPr="0081634F">
        <w:rPr>
          <w:rFonts w:ascii="Arial" w:hAnsi="Arial" w:cs="Arial"/>
          <w:sz w:val="20"/>
          <w:szCs w:val="20"/>
        </w:rPr>
        <w:t>estadio cautelar.</w:t>
      </w:r>
      <w:r w:rsidRPr="0081634F">
        <w:rPr>
          <w:rFonts w:ascii="Arial" w:hAnsi="Arial" w:cs="Arial"/>
          <w:sz w:val="20"/>
          <w:szCs w:val="20"/>
        </w:rPr>
        <w:cr/>
        <w:t>Esta cautelar fue apelada por el municipio y se encuentra bajo análisis de la Cámara Federal de La Plata.</w:t>
      </w:r>
    </w:p>
    <w:p w14:paraId="14283B6A" w14:textId="77777777" w:rsidR="0081634F" w:rsidRPr="0081634F" w:rsidRDefault="0081634F" w:rsidP="0081634F">
      <w:pPr>
        <w:spacing w:line="360" w:lineRule="atLeast"/>
        <w:jc w:val="both"/>
        <w:rPr>
          <w:rFonts w:ascii="Arial" w:hAnsi="Arial" w:cs="Arial"/>
          <w:sz w:val="20"/>
          <w:szCs w:val="20"/>
        </w:rPr>
      </w:pPr>
    </w:p>
    <w:p w14:paraId="114553B6" w14:textId="31E80401" w:rsidR="00757000" w:rsidRPr="00757000" w:rsidRDefault="00757000" w:rsidP="00757000">
      <w:pPr>
        <w:pStyle w:val="Prrafodelista"/>
        <w:numPr>
          <w:ilvl w:val="0"/>
          <w:numId w:val="4"/>
        </w:numPr>
        <w:spacing w:line="360" w:lineRule="atLeast"/>
        <w:jc w:val="both"/>
        <w:rPr>
          <w:rFonts w:ascii="Arial" w:hAnsi="Arial" w:cs="Arial"/>
          <w:b/>
          <w:bCs/>
          <w:sz w:val="20"/>
          <w:szCs w:val="20"/>
        </w:rPr>
      </w:pPr>
      <w:r w:rsidRPr="00757000">
        <w:rPr>
          <w:rFonts w:ascii="Arial" w:hAnsi="Arial" w:cs="Arial"/>
          <w:b/>
          <w:bCs/>
          <w:sz w:val="20"/>
          <w:szCs w:val="20"/>
        </w:rPr>
        <w:t>Cámara Federal de La Plata - SALA II.</w:t>
      </w:r>
      <w:r w:rsidRPr="00757000">
        <w:rPr>
          <w:b/>
          <w:bCs/>
        </w:rPr>
        <w:t xml:space="preserve"> </w:t>
      </w:r>
      <w:r w:rsidRPr="00757000">
        <w:rPr>
          <w:rFonts w:ascii="Arial" w:hAnsi="Arial" w:cs="Arial"/>
          <w:b/>
          <w:bCs/>
          <w:sz w:val="20"/>
          <w:szCs w:val="20"/>
        </w:rPr>
        <w:t>“Asociación de Bancos Argentinos (ADEBA) y otro c/ Municipalidad de Avellaneda s/Acción declarativa de certeza”. 21/8/2025 y Juzgado Federal de Quilmes.</w:t>
      </w:r>
      <w:r w:rsidRPr="00757000">
        <w:rPr>
          <w:b/>
          <w:bCs/>
        </w:rPr>
        <w:t xml:space="preserve"> “</w:t>
      </w:r>
      <w:r w:rsidRPr="00757000">
        <w:rPr>
          <w:rFonts w:ascii="Arial" w:hAnsi="Arial" w:cs="Arial"/>
          <w:b/>
          <w:bCs/>
          <w:sz w:val="20"/>
          <w:szCs w:val="20"/>
        </w:rPr>
        <w:t xml:space="preserve">Asociación de Bancos Argentinos (ADEBA) y otro c/ Municipalidad de Avellaneda s/Acción declarativa de certeza”. 01/07/2024. </w:t>
      </w:r>
      <w:bookmarkStart w:id="3" w:name="_Hlk208338876"/>
      <w:r w:rsidRPr="00757000">
        <w:rPr>
          <w:rFonts w:ascii="Arial" w:hAnsi="Arial" w:cs="Arial"/>
          <w:b/>
          <w:bCs/>
          <w:sz w:val="20"/>
          <w:szCs w:val="20"/>
        </w:rPr>
        <w:t xml:space="preserve">Comenta Nicolas Nogueira </w:t>
      </w:r>
      <w:proofErr w:type="spellStart"/>
      <w:r w:rsidRPr="00757000">
        <w:rPr>
          <w:rFonts w:ascii="Arial" w:hAnsi="Arial" w:cs="Arial"/>
          <w:b/>
          <w:bCs/>
          <w:sz w:val="20"/>
          <w:szCs w:val="20"/>
        </w:rPr>
        <w:t>Castellini</w:t>
      </w:r>
      <w:proofErr w:type="spellEnd"/>
      <w:r w:rsidRPr="00757000">
        <w:rPr>
          <w:rFonts w:ascii="Arial" w:hAnsi="Arial" w:cs="Arial"/>
          <w:b/>
          <w:bCs/>
          <w:sz w:val="20"/>
          <w:szCs w:val="20"/>
        </w:rPr>
        <w:t>.</w:t>
      </w:r>
    </w:p>
    <w:bookmarkEnd w:id="3"/>
    <w:p w14:paraId="523D6873" w14:textId="77777777" w:rsidR="00757000" w:rsidRDefault="00757000" w:rsidP="00757000">
      <w:pPr>
        <w:spacing w:line="360" w:lineRule="atLeast"/>
        <w:jc w:val="both"/>
        <w:rPr>
          <w:rFonts w:ascii="Arial" w:hAnsi="Arial" w:cs="Arial"/>
          <w:sz w:val="20"/>
          <w:szCs w:val="20"/>
        </w:rPr>
      </w:pPr>
      <w:r>
        <w:rPr>
          <w:rFonts w:ascii="Arial" w:hAnsi="Arial" w:cs="Arial"/>
          <w:sz w:val="20"/>
          <w:szCs w:val="20"/>
        </w:rPr>
        <w:t>Se desestima</w:t>
      </w:r>
      <w:r w:rsidRPr="00757000">
        <w:rPr>
          <w:rFonts w:ascii="Arial" w:hAnsi="Arial" w:cs="Arial"/>
          <w:sz w:val="20"/>
          <w:szCs w:val="20"/>
        </w:rPr>
        <w:t xml:space="preserve"> la medida cautelar solicitada</w:t>
      </w:r>
      <w:r w:rsidRPr="00757000">
        <w:t xml:space="preserve"> </w:t>
      </w:r>
      <w:r w:rsidRPr="00757000">
        <w:rPr>
          <w:rFonts w:ascii="Arial" w:hAnsi="Arial" w:cs="Arial"/>
          <w:sz w:val="20"/>
          <w:szCs w:val="20"/>
        </w:rPr>
        <w:t xml:space="preserve">por bancos privados para evitar el pago de la TSH sobre resultados de títulos públicos e instrumentos de política monetaria. </w:t>
      </w:r>
    </w:p>
    <w:p w14:paraId="6F6DAA4F" w14:textId="2CEE6FA2" w:rsidR="0081634F" w:rsidRDefault="00757000" w:rsidP="00757000">
      <w:pPr>
        <w:spacing w:line="360" w:lineRule="atLeast"/>
        <w:jc w:val="both"/>
        <w:rPr>
          <w:rFonts w:ascii="Arial" w:hAnsi="Arial" w:cs="Arial"/>
          <w:sz w:val="20"/>
          <w:szCs w:val="20"/>
        </w:rPr>
      </w:pPr>
      <w:r w:rsidRPr="00757000">
        <w:rPr>
          <w:rFonts w:ascii="Arial" w:hAnsi="Arial" w:cs="Arial"/>
          <w:sz w:val="20"/>
          <w:szCs w:val="20"/>
        </w:rPr>
        <w:t>Reciente confirmación del rechazo por Cámara Federal de La Plata</w:t>
      </w:r>
      <w:r>
        <w:rPr>
          <w:rFonts w:ascii="Arial" w:hAnsi="Arial" w:cs="Arial"/>
          <w:sz w:val="20"/>
          <w:szCs w:val="20"/>
        </w:rPr>
        <w:t>.</w:t>
      </w:r>
    </w:p>
    <w:p w14:paraId="5AD39FF7" w14:textId="77777777" w:rsidR="00971C41" w:rsidRPr="00757000" w:rsidRDefault="00971C41" w:rsidP="00757000">
      <w:pPr>
        <w:spacing w:line="360" w:lineRule="atLeast"/>
        <w:jc w:val="both"/>
        <w:rPr>
          <w:rFonts w:ascii="Arial" w:hAnsi="Arial" w:cs="Arial"/>
          <w:sz w:val="20"/>
          <w:szCs w:val="20"/>
        </w:rPr>
      </w:pPr>
    </w:p>
    <w:p w14:paraId="62930C95" w14:textId="18478F3D" w:rsidR="00971C41" w:rsidRPr="00757000" w:rsidRDefault="00757000" w:rsidP="00971C41">
      <w:pPr>
        <w:pStyle w:val="Prrafodelista"/>
        <w:numPr>
          <w:ilvl w:val="0"/>
          <w:numId w:val="4"/>
        </w:numPr>
        <w:spacing w:line="360" w:lineRule="atLeast"/>
        <w:jc w:val="both"/>
        <w:rPr>
          <w:rFonts w:ascii="Arial" w:hAnsi="Arial" w:cs="Arial"/>
          <w:b/>
          <w:bCs/>
          <w:sz w:val="20"/>
          <w:szCs w:val="20"/>
        </w:rPr>
      </w:pPr>
      <w:r w:rsidRPr="00971C41">
        <w:rPr>
          <w:rFonts w:ascii="Arial" w:hAnsi="Arial" w:cs="Arial"/>
          <w:b/>
          <w:bCs/>
          <w:sz w:val="20"/>
          <w:szCs w:val="20"/>
        </w:rPr>
        <w:t>Cámara Federal de La Plata - SALA III. “Banco de la Nación Argentina c/ Municipalidad de la Plata Avellaneda s/</w:t>
      </w:r>
      <w:r w:rsidR="00971C41" w:rsidRPr="00971C41">
        <w:rPr>
          <w:rFonts w:ascii="Arial" w:hAnsi="Arial" w:cs="Arial"/>
          <w:b/>
          <w:bCs/>
          <w:sz w:val="20"/>
          <w:szCs w:val="20"/>
        </w:rPr>
        <w:t>incidente de apelación</w:t>
      </w:r>
      <w:r w:rsidRPr="00971C41">
        <w:rPr>
          <w:rFonts w:ascii="Arial" w:hAnsi="Arial" w:cs="Arial"/>
          <w:b/>
          <w:bCs/>
          <w:sz w:val="20"/>
          <w:szCs w:val="20"/>
        </w:rPr>
        <w:t xml:space="preserve">”. </w:t>
      </w:r>
      <w:r w:rsidR="00971C41" w:rsidRPr="00971C41">
        <w:rPr>
          <w:rFonts w:ascii="Arial" w:hAnsi="Arial" w:cs="Arial"/>
          <w:b/>
          <w:bCs/>
          <w:sz w:val="20"/>
          <w:szCs w:val="20"/>
        </w:rPr>
        <w:t>5</w:t>
      </w:r>
      <w:r w:rsidRPr="00971C41">
        <w:rPr>
          <w:rFonts w:ascii="Arial" w:hAnsi="Arial" w:cs="Arial"/>
          <w:b/>
          <w:bCs/>
          <w:sz w:val="20"/>
          <w:szCs w:val="20"/>
        </w:rPr>
        <w:t>/</w:t>
      </w:r>
      <w:r w:rsidR="00971C41" w:rsidRPr="00971C41">
        <w:rPr>
          <w:rFonts w:ascii="Arial" w:hAnsi="Arial" w:cs="Arial"/>
          <w:b/>
          <w:bCs/>
          <w:sz w:val="20"/>
          <w:szCs w:val="20"/>
        </w:rPr>
        <w:t>9</w:t>
      </w:r>
      <w:r w:rsidRPr="00971C41">
        <w:rPr>
          <w:rFonts w:ascii="Arial" w:hAnsi="Arial" w:cs="Arial"/>
          <w:b/>
          <w:bCs/>
          <w:sz w:val="20"/>
          <w:szCs w:val="20"/>
        </w:rPr>
        <w:t>/2025</w:t>
      </w:r>
      <w:r w:rsidR="00971C41" w:rsidRPr="00971C41">
        <w:rPr>
          <w:rFonts w:ascii="Arial" w:hAnsi="Arial" w:cs="Arial"/>
          <w:b/>
          <w:bCs/>
          <w:sz w:val="20"/>
          <w:szCs w:val="20"/>
        </w:rPr>
        <w:t>. Comenta</w:t>
      </w:r>
      <w:r w:rsidR="00971C41" w:rsidRPr="00757000">
        <w:rPr>
          <w:rFonts w:ascii="Arial" w:hAnsi="Arial" w:cs="Arial"/>
          <w:b/>
          <w:bCs/>
          <w:sz w:val="20"/>
          <w:szCs w:val="20"/>
        </w:rPr>
        <w:t xml:space="preserve"> Nicolas Nogueira </w:t>
      </w:r>
      <w:proofErr w:type="spellStart"/>
      <w:r w:rsidR="00971C41" w:rsidRPr="00757000">
        <w:rPr>
          <w:rFonts w:ascii="Arial" w:hAnsi="Arial" w:cs="Arial"/>
          <w:b/>
          <w:bCs/>
          <w:sz w:val="20"/>
          <w:szCs w:val="20"/>
        </w:rPr>
        <w:t>Castellini</w:t>
      </w:r>
      <w:proofErr w:type="spellEnd"/>
      <w:r w:rsidR="00971C41" w:rsidRPr="00757000">
        <w:rPr>
          <w:rFonts w:ascii="Arial" w:hAnsi="Arial" w:cs="Arial"/>
          <w:b/>
          <w:bCs/>
          <w:sz w:val="20"/>
          <w:szCs w:val="20"/>
        </w:rPr>
        <w:t>.</w:t>
      </w:r>
    </w:p>
    <w:p w14:paraId="558EDBAD" w14:textId="77777777" w:rsidR="00971C41" w:rsidRPr="00971C41" w:rsidRDefault="00971C41" w:rsidP="00971C41">
      <w:pPr>
        <w:spacing w:line="360" w:lineRule="atLeast"/>
        <w:jc w:val="both"/>
        <w:rPr>
          <w:rFonts w:ascii="Arial" w:hAnsi="Arial" w:cs="Arial"/>
          <w:sz w:val="20"/>
          <w:szCs w:val="20"/>
        </w:rPr>
      </w:pPr>
      <w:r w:rsidRPr="00971C41">
        <w:rPr>
          <w:rFonts w:ascii="Arial" w:hAnsi="Arial" w:cs="Arial"/>
          <w:sz w:val="20"/>
          <w:szCs w:val="20"/>
        </w:rPr>
        <w:t>A través de su pronunciamiento de fecha 10 de marzo de este año, esta Sala resolvió hacer lugar al recurso de apelación deducido por la demandada y, en consecuencia, revocar la medida cautelar que había concedido el Juzgado Federal de La Plata.</w:t>
      </w:r>
    </w:p>
    <w:p w14:paraId="3DDDF478" w14:textId="648E5D8D" w:rsidR="0081634F" w:rsidRDefault="00971C41" w:rsidP="00971C41">
      <w:pPr>
        <w:spacing w:line="360" w:lineRule="atLeast"/>
        <w:jc w:val="both"/>
        <w:rPr>
          <w:rFonts w:ascii="Arial" w:hAnsi="Arial" w:cs="Arial"/>
          <w:sz w:val="20"/>
          <w:szCs w:val="20"/>
        </w:rPr>
      </w:pPr>
      <w:r w:rsidRPr="00971C41">
        <w:rPr>
          <w:rFonts w:ascii="Arial" w:hAnsi="Arial" w:cs="Arial"/>
          <w:sz w:val="20"/>
          <w:szCs w:val="20"/>
        </w:rPr>
        <w:t>Contra esa decisión la parte actora dedujo recurso extraordinario federal, el cual es denegado por el presente decisorio.</w:t>
      </w:r>
    </w:p>
    <w:p w14:paraId="3A434D54" w14:textId="77777777" w:rsidR="00971C41" w:rsidRPr="00971C41" w:rsidRDefault="00971C41" w:rsidP="00971C41">
      <w:pPr>
        <w:spacing w:line="360" w:lineRule="atLeast"/>
        <w:jc w:val="both"/>
        <w:rPr>
          <w:rFonts w:ascii="Arial" w:hAnsi="Arial" w:cs="Arial"/>
          <w:sz w:val="20"/>
          <w:szCs w:val="20"/>
        </w:rPr>
      </w:pPr>
    </w:p>
    <w:p w14:paraId="0EF46C26" w14:textId="79C31651" w:rsidR="0097192B" w:rsidRPr="00E34CC3" w:rsidRDefault="00E34CC3" w:rsidP="00DF7BF2">
      <w:pPr>
        <w:pStyle w:val="Prrafodelista"/>
        <w:numPr>
          <w:ilvl w:val="0"/>
          <w:numId w:val="4"/>
        </w:numPr>
        <w:spacing w:line="360" w:lineRule="atLeast"/>
        <w:jc w:val="both"/>
        <w:rPr>
          <w:rFonts w:ascii="Arial" w:hAnsi="Arial" w:cs="Arial"/>
          <w:b/>
          <w:bCs/>
          <w:sz w:val="20"/>
          <w:szCs w:val="20"/>
        </w:rPr>
      </w:pPr>
      <w:r w:rsidRPr="00E34CC3">
        <w:rPr>
          <w:rFonts w:ascii="Arial" w:hAnsi="Arial" w:cs="Arial"/>
          <w:b/>
          <w:bCs/>
          <w:sz w:val="20"/>
          <w:szCs w:val="20"/>
        </w:rPr>
        <w:t xml:space="preserve">Juzgado </w:t>
      </w:r>
      <w:r>
        <w:rPr>
          <w:rFonts w:ascii="Arial" w:hAnsi="Arial" w:cs="Arial"/>
          <w:b/>
          <w:bCs/>
          <w:sz w:val="20"/>
          <w:szCs w:val="20"/>
        </w:rPr>
        <w:t>d</w:t>
      </w:r>
      <w:r w:rsidRPr="00E34CC3">
        <w:rPr>
          <w:rFonts w:ascii="Arial" w:hAnsi="Arial" w:cs="Arial"/>
          <w:b/>
          <w:bCs/>
          <w:sz w:val="20"/>
          <w:szCs w:val="20"/>
        </w:rPr>
        <w:t xml:space="preserve">e 1ra Instancia </w:t>
      </w:r>
      <w:r>
        <w:rPr>
          <w:rFonts w:ascii="Arial" w:hAnsi="Arial" w:cs="Arial"/>
          <w:b/>
          <w:bCs/>
          <w:sz w:val="20"/>
          <w:szCs w:val="20"/>
        </w:rPr>
        <w:t>e</w:t>
      </w:r>
      <w:r w:rsidRPr="00E34CC3">
        <w:rPr>
          <w:rFonts w:ascii="Arial" w:hAnsi="Arial" w:cs="Arial"/>
          <w:b/>
          <w:bCs/>
          <w:sz w:val="20"/>
          <w:szCs w:val="20"/>
        </w:rPr>
        <w:t xml:space="preserve">n </w:t>
      </w:r>
      <w:r>
        <w:rPr>
          <w:rFonts w:ascii="Arial" w:hAnsi="Arial" w:cs="Arial"/>
          <w:b/>
          <w:bCs/>
          <w:sz w:val="20"/>
          <w:szCs w:val="20"/>
        </w:rPr>
        <w:t>l</w:t>
      </w:r>
      <w:r w:rsidRPr="00E34CC3">
        <w:rPr>
          <w:rFonts w:ascii="Arial" w:hAnsi="Arial" w:cs="Arial"/>
          <w:b/>
          <w:bCs/>
          <w:sz w:val="20"/>
          <w:szCs w:val="20"/>
        </w:rPr>
        <w:t xml:space="preserve">o Contencioso Administrativo </w:t>
      </w:r>
      <w:r>
        <w:rPr>
          <w:rFonts w:ascii="Arial" w:hAnsi="Arial" w:cs="Arial"/>
          <w:b/>
          <w:bCs/>
          <w:sz w:val="20"/>
          <w:szCs w:val="20"/>
        </w:rPr>
        <w:t>y</w:t>
      </w:r>
      <w:r w:rsidRPr="00E34CC3">
        <w:rPr>
          <w:rFonts w:ascii="Arial" w:hAnsi="Arial" w:cs="Arial"/>
          <w:b/>
          <w:bCs/>
          <w:sz w:val="20"/>
          <w:szCs w:val="20"/>
        </w:rPr>
        <w:t xml:space="preserve"> Tributario </w:t>
      </w:r>
      <w:proofErr w:type="spellStart"/>
      <w:r w:rsidRPr="00E34CC3">
        <w:rPr>
          <w:rFonts w:ascii="Arial" w:hAnsi="Arial" w:cs="Arial"/>
          <w:b/>
          <w:bCs/>
          <w:sz w:val="20"/>
          <w:szCs w:val="20"/>
        </w:rPr>
        <w:t>Nº</w:t>
      </w:r>
      <w:proofErr w:type="spellEnd"/>
      <w:r w:rsidRPr="00E34CC3">
        <w:rPr>
          <w:rFonts w:ascii="Arial" w:hAnsi="Arial" w:cs="Arial"/>
          <w:b/>
          <w:bCs/>
          <w:sz w:val="20"/>
          <w:szCs w:val="20"/>
        </w:rPr>
        <w:t xml:space="preserve"> 3</w:t>
      </w:r>
      <w:r>
        <w:rPr>
          <w:rFonts w:ascii="Arial" w:hAnsi="Arial" w:cs="Arial"/>
          <w:b/>
          <w:bCs/>
          <w:sz w:val="20"/>
          <w:szCs w:val="20"/>
        </w:rPr>
        <w:t>.</w:t>
      </w:r>
      <w:r w:rsidRPr="00E34CC3">
        <w:rPr>
          <w:rFonts w:ascii="Arial" w:hAnsi="Arial" w:cs="Arial"/>
          <w:b/>
          <w:bCs/>
          <w:sz w:val="20"/>
          <w:szCs w:val="20"/>
        </w:rPr>
        <w:t xml:space="preserve"> Secretaría N°6. “HELIOS PHARMA S.A. y otros contra GCBA sobre otras demandas contra autoridad administrativa - TRIBUTARIO-INGRESOS BRUTOS</w:t>
      </w:r>
      <w:r>
        <w:rPr>
          <w:rFonts w:ascii="Arial" w:hAnsi="Arial" w:cs="Arial"/>
          <w:b/>
          <w:bCs/>
          <w:sz w:val="20"/>
          <w:szCs w:val="20"/>
        </w:rPr>
        <w:t>”. 30</w:t>
      </w:r>
      <w:r w:rsidR="006733A9" w:rsidRPr="00E34CC3">
        <w:rPr>
          <w:rFonts w:ascii="Arial" w:hAnsi="Arial" w:cs="Arial"/>
          <w:b/>
          <w:bCs/>
          <w:sz w:val="20"/>
          <w:szCs w:val="20"/>
        </w:rPr>
        <w:t>/</w:t>
      </w:r>
      <w:r>
        <w:rPr>
          <w:rFonts w:ascii="Arial" w:hAnsi="Arial" w:cs="Arial"/>
          <w:b/>
          <w:bCs/>
          <w:sz w:val="20"/>
          <w:szCs w:val="20"/>
        </w:rPr>
        <w:t>10</w:t>
      </w:r>
      <w:r w:rsidR="006733A9" w:rsidRPr="00E34CC3">
        <w:rPr>
          <w:rFonts w:ascii="Arial" w:hAnsi="Arial" w:cs="Arial"/>
          <w:b/>
          <w:bCs/>
          <w:sz w:val="20"/>
          <w:szCs w:val="20"/>
        </w:rPr>
        <w:t>/202</w:t>
      </w:r>
      <w:r>
        <w:rPr>
          <w:rFonts w:ascii="Arial" w:hAnsi="Arial" w:cs="Arial"/>
          <w:b/>
          <w:bCs/>
          <w:sz w:val="20"/>
          <w:szCs w:val="20"/>
        </w:rPr>
        <w:t>4</w:t>
      </w:r>
      <w:r w:rsidR="006733A9" w:rsidRPr="00E34CC3">
        <w:rPr>
          <w:rFonts w:ascii="Arial" w:hAnsi="Arial" w:cs="Arial"/>
          <w:b/>
          <w:bCs/>
          <w:sz w:val="20"/>
          <w:szCs w:val="20"/>
        </w:rPr>
        <w:t>.</w:t>
      </w:r>
      <w:r w:rsidR="006733A9" w:rsidRPr="006733A9">
        <w:t xml:space="preserve"> </w:t>
      </w:r>
    </w:p>
    <w:p w14:paraId="54CAE7EE" w14:textId="77777777" w:rsidR="00CA54F9" w:rsidRPr="007953D6" w:rsidRDefault="00166470" w:rsidP="007374D4">
      <w:pPr>
        <w:spacing w:line="360" w:lineRule="atLeast"/>
        <w:jc w:val="both"/>
        <w:rPr>
          <w:rFonts w:ascii="Arial" w:hAnsi="Arial" w:cs="Arial"/>
          <w:sz w:val="20"/>
          <w:szCs w:val="20"/>
        </w:rPr>
      </w:pPr>
      <w:r w:rsidRPr="007953D6">
        <w:rPr>
          <w:rFonts w:ascii="Arial" w:hAnsi="Arial" w:cs="Arial"/>
          <w:sz w:val="20"/>
          <w:szCs w:val="20"/>
        </w:rPr>
        <w:t xml:space="preserve">Prescripción aplicación de la doctrina “Volkswagen” para los períodos anteriores a la sanción del Código Civil y Comercial. </w:t>
      </w:r>
    </w:p>
    <w:p w14:paraId="65AA1686" w14:textId="05306E14" w:rsidR="0087343E" w:rsidRPr="007953D6" w:rsidRDefault="00CA54F9" w:rsidP="007374D4">
      <w:pPr>
        <w:spacing w:line="360" w:lineRule="atLeast"/>
        <w:jc w:val="both"/>
        <w:rPr>
          <w:rFonts w:ascii="Arial" w:hAnsi="Arial" w:cs="Arial"/>
          <w:sz w:val="20"/>
          <w:szCs w:val="20"/>
        </w:rPr>
      </w:pPr>
      <w:r w:rsidRPr="007953D6">
        <w:rPr>
          <w:rFonts w:ascii="Arial" w:hAnsi="Arial" w:cs="Arial"/>
          <w:sz w:val="20"/>
          <w:szCs w:val="20"/>
        </w:rPr>
        <w:t xml:space="preserve">Inclusión de IVA </w:t>
      </w:r>
      <w:r w:rsidR="007953D6" w:rsidRPr="007953D6">
        <w:rPr>
          <w:rFonts w:ascii="Arial" w:hAnsi="Arial" w:cs="Arial"/>
          <w:sz w:val="20"/>
          <w:szCs w:val="20"/>
        </w:rPr>
        <w:t>créd</w:t>
      </w:r>
      <w:r w:rsidRPr="007953D6">
        <w:rPr>
          <w:rFonts w:ascii="Arial" w:hAnsi="Arial" w:cs="Arial"/>
          <w:sz w:val="20"/>
          <w:szCs w:val="20"/>
        </w:rPr>
        <w:t>ito fiscal en la base imponible del impuesto sobre los ingresos brutos.</w:t>
      </w:r>
    </w:p>
    <w:p w14:paraId="3FAC4007" w14:textId="7D235B20" w:rsidR="00166470" w:rsidRPr="007953D6" w:rsidRDefault="00AA31A6" w:rsidP="007374D4">
      <w:pPr>
        <w:spacing w:line="360" w:lineRule="atLeast"/>
        <w:jc w:val="both"/>
        <w:rPr>
          <w:rFonts w:ascii="Arial" w:hAnsi="Arial" w:cs="Arial"/>
          <w:sz w:val="20"/>
          <w:szCs w:val="20"/>
        </w:rPr>
      </w:pPr>
      <w:r w:rsidRPr="007953D6">
        <w:rPr>
          <w:rFonts w:ascii="Arial" w:hAnsi="Arial" w:cs="Arial"/>
          <w:sz w:val="20"/>
          <w:szCs w:val="20"/>
        </w:rPr>
        <w:t>U</w:t>
      </w:r>
      <w:r w:rsidR="00166470" w:rsidRPr="007953D6">
        <w:rPr>
          <w:rFonts w:ascii="Arial" w:hAnsi="Arial" w:cs="Arial"/>
          <w:sz w:val="20"/>
          <w:szCs w:val="20"/>
        </w:rPr>
        <w:t xml:space="preserve">na interpretación armónica de las disposiciones citadas, permite concluir que la norma relativa a la exclusión de base imponible de los importes correspondientes al “débito fiscal” del Impuesto al Valor Agregado (IVA) -art. 193, inc. 1º del Código Fiscal, </w:t>
      </w:r>
      <w:proofErr w:type="spellStart"/>
      <w:r w:rsidR="00166470" w:rsidRPr="007953D6">
        <w:rPr>
          <w:rFonts w:ascii="Arial" w:hAnsi="Arial" w:cs="Arial"/>
          <w:sz w:val="20"/>
          <w:szCs w:val="20"/>
        </w:rPr>
        <w:t>t.o</w:t>
      </w:r>
      <w:proofErr w:type="spellEnd"/>
      <w:r w:rsidR="00166470" w:rsidRPr="007953D6">
        <w:rPr>
          <w:rFonts w:ascii="Arial" w:hAnsi="Arial" w:cs="Arial"/>
          <w:sz w:val="20"/>
          <w:szCs w:val="20"/>
        </w:rPr>
        <w:t xml:space="preserve">. año 2012 y ordenamientos fiscales siguientes-, </w:t>
      </w:r>
      <w:r w:rsidR="00166470" w:rsidRPr="007953D6">
        <w:rPr>
          <w:rFonts w:ascii="Arial" w:hAnsi="Arial" w:cs="Arial"/>
          <w:sz w:val="20"/>
          <w:szCs w:val="20"/>
        </w:rPr>
        <w:lastRenderedPageBreak/>
        <w:t xml:space="preserve">resulta aplicable tanto para aquellos hechos imponibles que deben determinar su base imponible de acuerdo con el principio general (cf. arts. 171 y 172 del Código Fiscal, </w:t>
      </w:r>
      <w:proofErr w:type="spellStart"/>
      <w:r w:rsidR="00166470" w:rsidRPr="007953D6">
        <w:rPr>
          <w:rFonts w:ascii="Arial" w:hAnsi="Arial" w:cs="Arial"/>
          <w:sz w:val="20"/>
          <w:szCs w:val="20"/>
        </w:rPr>
        <w:t>t.o</w:t>
      </w:r>
      <w:proofErr w:type="spellEnd"/>
      <w:r w:rsidR="00166470" w:rsidRPr="007953D6">
        <w:rPr>
          <w:rFonts w:ascii="Arial" w:hAnsi="Arial" w:cs="Arial"/>
          <w:sz w:val="20"/>
          <w:szCs w:val="20"/>
        </w:rPr>
        <w:t>. año 2012, en idénticos términos las normas fiscales posteriores), como para los supuestos especiales de base imponible</w:t>
      </w:r>
      <w:r w:rsidR="00CA54F9" w:rsidRPr="007953D6">
        <w:rPr>
          <w:rFonts w:ascii="Arial" w:hAnsi="Arial" w:cs="Arial"/>
          <w:sz w:val="20"/>
          <w:szCs w:val="20"/>
        </w:rPr>
        <w:t>.</w:t>
      </w:r>
    </w:p>
    <w:p w14:paraId="65663654" w14:textId="1FF2741E" w:rsidR="00166470" w:rsidRDefault="00CA54F9" w:rsidP="007374D4">
      <w:pPr>
        <w:spacing w:line="360" w:lineRule="atLeast"/>
        <w:jc w:val="both"/>
        <w:rPr>
          <w:rFonts w:ascii="Arial" w:hAnsi="Arial" w:cs="Arial"/>
          <w:sz w:val="20"/>
          <w:szCs w:val="20"/>
        </w:rPr>
      </w:pPr>
      <w:r w:rsidRPr="007953D6">
        <w:rPr>
          <w:rFonts w:ascii="Arial" w:hAnsi="Arial" w:cs="Arial"/>
          <w:sz w:val="20"/>
          <w:szCs w:val="20"/>
        </w:rPr>
        <w:t>Las sumas abonadas por la sociedad actora en concepto de crédito fiscal del IVA no son integrantes del alcance que corresponde otorgarle a la definición de “ingresos brutos”</w:t>
      </w:r>
      <w:r w:rsidR="007953D6">
        <w:rPr>
          <w:rFonts w:ascii="Arial" w:hAnsi="Arial" w:cs="Arial"/>
          <w:sz w:val="20"/>
          <w:szCs w:val="20"/>
        </w:rPr>
        <w:t>.</w:t>
      </w:r>
    </w:p>
    <w:p w14:paraId="2287875B" w14:textId="77777777" w:rsidR="007953D6" w:rsidRPr="007953D6" w:rsidRDefault="007953D6" w:rsidP="007374D4">
      <w:pPr>
        <w:spacing w:line="360" w:lineRule="atLeast"/>
        <w:jc w:val="both"/>
        <w:rPr>
          <w:rFonts w:ascii="Arial" w:hAnsi="Arial" w:cs="Arial"/>
          <w:sz w:val="20"/>
          <w:szCs w:val="20"/>
        </w:rPr>
      </w:pPr>
    </w:p>
    <w:p w14:paraId="623472FF" w14:textId="1D8AF667" w:rsidR="0097322D" w:rsidRPr="00F64109" w:rsidRDefault="00F64109" w:rsidP="00200E75">
      <w:pPr>
        <w:pStyle w:val="Prrafodelista"/>
        <w:numPr>
          <w:ilvl w:val="0"/>
          <w:numId w:val="4"/>
        </w:numPr>
        <w:spacing w:line="360" w:lineRule="atLeast"/>
        <w:jc w:val="both"/>
        <w:rPr>
          <w:rFonts w:ascii="Arial" w:hAnsi="Arial" w:cs="Arial"/>
          <w:b/>
          <w:bCs/>
          <w:sz w:val="20"/>
          <w:szCs w:val="20"/>
        </w:rPr>
      </w:pPr>
      <w:r w:rsidRPr="00F64109">
        <w:rPr>
          <w:rFonts w:ascii="Arial" w:hAnsi="Arial" w:cs="Arial"/>
          <w:b/>
          <w:bCs/>
          <w:sz w:val="20"/>
          <w:szCs w:val="20"/>
        </w:rPr>
        <w:t xml:space="preserve">Juzgado </w:t>
      </w:r>
      <w:r w:rsidR="004A019D">
        <w:rPr>
          <w:rFonts w:ascii="Arial" w:hAnsi="Arial" w:cs="Arial"/>
          <w:b/>
          <w:bCs/>
          <w:sz w:val="20"/>
          <w:szCs w:val="20"/>
        </w:rPr>
        <w:t xml:space="preserve">Nacional en </w:t>
      </w:r>
      <w:r w:rsidRPr="00F64109">
        <w:rPr>
          <w:rFonts w:ascii="Arial" w:hAnsi="Arial" w:cs="Arial"/>
          <w:b/>
          <w:bCs/>
          <w:sz w:val="20"/>
          <w:szCs w:val="20"/>
        </w:rPr>
        <w:t>Contencioso Administrativo Federal 2</w:t>
      </w:r>
      <w:r w:rsidR="0097322D" w:rsidRPr="00F64109">
        <w:rPr>
          <w:rFonts w:ascii="Arial" w:hAnsi="Arial" w:cs="Arial"/>
          <w:b/>
          <w:bCs/>
          <w:sz w:val="20"/>
          <w:szCs w:val="20"/>
        </w:rPr>
        <w:t>.</w:t>
      </w:r>
      <w:r w:rsidRPr="00F64109">
        <w:rPr>
          <w:rFonts w:ascii="Arial" w:hAnsi="Arial" w:cs="Arial"/>
          <w:b/>
          <w:bCs/>
          <w:sz w:val="20"/>
          <w:szCs w:val="20"/>
        </w:rPr>
        <w:t xml:space="preserve"> "Telecom Argentina S.A. C/ ENACOM Y Otro S/ Proceso </w:t>
      </w:r>
      <w:r>
        <w:rPr>
          <w:rFonts w:ascii="Arial" w:hAnsi="Arial" w:cs="Arial"/>
          <w:b/>
          <w:bCs/>
          <w:sz w:val="20"/>
          <w:szCs w:val="20"/>
        </w:rPr>
        <w:t>d</w:t>
      </w:r>
      <w:r w:rsidRPr="00F64109">
        <w:rPr>
          <w:rFonts w:ascii="Arial" w:hAnsi="Arial" w:cs="Arial"/>
          <w:b/>
          <w:bCs/>
          <w:sz w:val="20"/>
          <w:szCs w:val="20"/>
        </w:rPr>
        <w:t>e Conocimiento"</w:t>
      </w:r>
      <w:r>
        <w:rPr>
          <w:rFonts w:ascii="Arial" w:hAnsi="Arial" w:cs="Arial"/>
          <w:b/>
          <w:bCs/>
          <w:sz w:val="20"/>
          <w:szCs w:val="20"/>
        </w:rPr>
        <w:t xml:space="preserve">. </w:t>
      </w:r>
      <w:r w:rsidR="004A019D">
        <w:rPr>
          <w:rFonts w:ascii="Arial" w:hAnsi="Arial" w:cs="Arial"/>
          <w:b/>
          <w:bCs/>
          <w:sz w:val="20"/>
          <w:szCs w:val="20"/>
        </w:rPr>
        <w:t>02</w:t>
      </w:r>
      <w:r w:rsidR="00270D66">
        <w:rPr>
          <w:rFonts w:ascii="Arial" w:hAnsi="Arial" w:cs="Arial"/>
          <w:b/>
          <w:bCs/>
          <w:sz w:val="20"/>
          <w:szCs w:val="20"/>
        </w:rPr>
        <w:t xml:space="preserve">/09/2025. </w:t>
      </w:r>
      <w:r>
        <w:rPr>
          <w:rFonts w:ascii="Arial" w:hAnsi="Arial" w:cs="Arial"/>
          <w:b/>
          <w:bCs/>
          <w:sz w:val="20"/>
          <w:szCs w:val="20"/>
        </w:rPr>
        <w:t>Comenta Paula Martínez</w:t>
      </w:r>
    </w:p>
    <w:p w14:paraId="48F69ED8" w14:textId="156804C2" w:rsidR="004A019D" w:rsidRDefault="00270D66" w:rsidP="0023019B">
      <w:pPr>
        <w:spacing w:line="360" w:lineRule="atLeast"/>
        <w:jc w:val="both"/>
        <w:rPr>
          <w:rFonts w:ascii="Arial" w:hAnsi="Arial" w:cs="Arial"/>
          <w:sz w:val="20"/>
          <w:szCs w:val="20"/>
        </w:rPr>
      </w:pPr>
      <w:r>
        <w:rPr>
          <w:rFonts w:ascii="Arial" w:hAnsi="Arial" w:cs="Arial"/>
          <w:sz w:val="20"/>
          <w:szCs w:val="20"/>
        </w:rPr>
        <w:t>Telecom inició demanda declarativa c</w:t>
      </w:r>
      <w:r w:rsidR="004A019D" w:rsidRPr="004A019D">
        <w:rPr>
          <w:rFonts w:ascii="Arial" w:hAnsi="Arial" w:cs="Arial"/>
          <w:sz w:val="20"/>
          <w:szCs w:val="20"/>
        </w:rPr>
        <w:t xml:space="preserve">ontra el Ente Nacional de Comunicaciones y la Municipalidad de La Matanza con el objeto de que se haga cesar el estado de incertidumbre en que se encuentra Telecom a raíz de la intimación cursada por la Municipalidad por medio de la cual se la </w:t>
      </w:r>
      <w:proofErr w:type="spellStart"/>
      <w:r w:rsidR="004A019D" w:rsidRPr="004A019D">
        <w:rPr>
          <w:rFonts w:ascii="Arial" w:hAnsi="Arial" w:cs="Arial"/>
          <w:sz w:val="20"/>
          <w:szCs w:val="20"/>
        </w:rPr>
        <w:t>intima</w:t>
      </w:r>
      <w:proofErr w:type="spellEnd"/>
      <w:r w:rsidR="004A019D" w:rsidRPr="004A019D">
        <w:rPr>
          <w:rFonts w:ascii="Arial" w:hAnsi="Arial" w:cs="Arial"/>
          <w:sz w:val="20"/>
          <w:szCs w:val="20"/>
        </w:rPr>
        <w:t xml:space="preserve"> al pago de una supuesta deuda en concepto de "Tasa por Inspección de Antenas y sus Estructuras Portantes"</w:t>
      </w:r>
      <w:r w:rsidR="007435C0">
        <w:rPr>
          <w:rFonts w:ascii="Arial" w:hAnsi="Arial" w:cs="Arial"/>
          <w:sz w:val="20"/>
          <w:szCs w:val="20"/>
        </w:rPr>
        <w:t xml:space="preserve"> (</w:t>
      </w:r>
      <w:r w:rsidR="007435C0" w:rsidRPr="002315FF">
        <w:rPr>
          <w:rFonts w:ascii="Arial" w:hAnsi="Arial" w:cs="Arial"/>
          <w:sz w:val="20"/>
          <w:szCs w:val="20"/>
        </w:rPr>
        <w:t>TIAEP</w:t>
      </w:r>
      <w:r w:rsidR="007435C0">
        <w:rPr>
          <w:rFonts w:ascii="Arial" w:hAnsi="Arial" w:cs="Arial"/>
          <w:sz w:val="20"/>
          <w:szCs w:val="20"/>
        </w:rPr>
        <w:t>)</w:t>
      </w:r>
      <w:r w:rsidR="00734113">
        <w:rPr>
          <w:rFonts w:ascii="Arial" w:hAnsi="Arial" w:cs="Arial"/>
          <w:sz w:val="20"/>
          <w:szCs w:val="20"/>
        </w:rPr>
        <w:t>.</w:t>
      </w:r>
    </w:p>
    <w:p w14:paraId="3D03B4A9" w14:textId="34F16114" w:rsidR="00734113" w:rsidRDefault="007435C0" w:rsidP="0023019B">
      <w:pPr>
        <w:spacing w:line="360" w:lineRule="atLeast"/>
        <w:jc w:val="both"/>
        <w:rPr>
          <w:rFonts w:ascii="Arial" w:hAnsi="Arial" w:cs="Arial"/>
          <w:sz w:val="20"/>
          <w:szCs w:val="20"/>
        </w:rPr>
      </w:pPr>
      <w:r>
        <w:rPr>
          <w:rFonts w:ascii="Arial" w:hAnsi="Arial" w:cs="Arial"/>
          <w:sz w:val="20"/>
          <w:szCs w:val="20"/>
        </w:rPr>
        <w:t>De</w:t>
      </w:r>
      <w:r w:rsidR="002315FF" w:rsidRPr="002315FF">
        <w:rPr>
          <w:rFonts w:ascii="Arial" w:hAnsi="Arial" w:cs="Arial"/>
          <w:sz w:val="20"/>
          <w:szCs w:val="20"/>
        </w:rPr>
        <w:t xml:space="preserve"> la prueba producida por la actora ha evidenciado con un alto grado de verosimilitud que el quantum reclamado en concepto de TIAEP no se condice con una evaluación prudencial del costo del servicio hipotéticamente concernido.</w:t>
      </w:r>
      <w:r>
        <w:rPr>
          <w:rFonts w:ascii="Arial" w:hAnsi="Arial" w:cs="Arial"/>
          <w:sz w:val="20"/>
          <w:szCs w:val="20"/>
        </w:rPr>
        <w:t xml:space="preserve"> </w:t>
      </w:r>
    </w:p>
    <w:p w14:paraId="6CA138B5" w14:textId="2DACE748" w:rsidR="007435C0" w:rsidRPr="004A019D" w:rsidRDefault="007435C0" w:rsidP="0023019B">
      <w:pPr>
        <w:spacing w:line="360" w:lineRule="atLeast"/>
        <w:jc w:val="both"/>
        <w:rPr>
          <w:rFonts w:ascii="Arial" w:hAnsi="Arial" w:cs="Arial"/>
          <w:sz w:val="20"/>
          <w:szCs w:val="20"/>
        </w:rPr>
      </w:pPr>
      <w:r>
        <w:rPr>
          <w:rFonts w:ascii="Arial" w:hAnsi="Arial" w:cs="Arial"/>
          <w:sz w:val="20"/>
          <w:szCs w:val="20"/>
        </w:rPr>
        <w:t>Se rechaza la demanda contra el ENACOM y se hace lugar a la demanda contra la Municipalidad de La Matanza.</w:t>
      </w:r>
    </w:p>
    <w:p w14:paraId="6EB972E5" w14:textId="77777777" w:rsidR="004A019D" w:rsidRPr="004A019D" w:rsidRDefault="004A019D" w:rsidP="0023019B">
      <w:pPr>
        <w:spacing w:line="360" w:lineRule="atLeast"/>
        <w:jc w:val="both"/>
        <w:rPr>
          <w:rFonts w:ascii="Arial" w:hAnsi="Arial" w:cs="Arial"/>
          <w:sz w:val="20"/>
          <w:szCs w:val="20"/>
        </w:rPr>
      </w:pPr>
    </w:p>
    <w:p w14:paraId="702E22AE" w14:textId="77777777" w:rsidR="00BF427F" w:rsidRPr="00BF427F" w:rsidRDefault="00BF427F" w:rsidP="00A67993">
      <w:pPr>
        <w:pStyle w:val="Prrafodelista"/>
        <w:numPr>
          <w:ilvl w:val="0"/>
          <w:numId w:val="4"/>
        </w:numPr>
        <w:spacing w:line="360" w:lineRule="atLeast"/>
        <w:jc w:val="both"/>
        <w:rPr>
          <w:rFonts w:ascii="Arial" w:hAnsi="Arial" w:cs="Arial"/>
          <w:b/>
          <w:bCs/>
          <w:sz w:val="20"/>
          <w:szCs w:val="20"/>
        </w:rPr>
      </w:pPr>
      <w:r w:rsidRPr="00BF427F">
        <w:rPr>
          <w:rFonts w:ascii="Arial" w:hAnsi="Arial" w:cs="Arial"/>
          <w:b/>
          <w:bCs/>
          <w:sz w:val="20"/>
          <w:szCs w:val="20"/>
        </w:rPr>
        <w:t xml:space="preserve">Tribunal Superior de Justicia de la Ciudad Autónoma de Buenos Aires. “GCBA s/ queja por recurso de inconstitucionalidad denegado en GCBA contra </w:t>
      </w:r>
      <w:proofErr w:type="spellStart"/>
      <w:r w:rsidRPr="00BF427F">
        <w:rPr>
          <w:rFonts w:ascii="Arial" w:hAnsi="Arial" w:cs="Arial"/>
          <w:b/>
          <w:bCs/>
          <w:sz w:val="20"/>
          <w:szCs w:val="20"/>
        </w:rPr>
        <w:t>Ravina</w:t>
      </w:r>
      <w:proofErr w:type="spellEnd"/>
      <w:r w:rsidRPr="00BF427F">
        <w:rPr>
          <w:rFonts w:ascii="Arial" w:hAnsi="Arial" w:cs="Arial"/>
          <w:b/>
          <w:bCs/>
          <w:sz w:val="20"/>
          <w:szCs w:val="20"/>
        </w:rPr>
        <w:t xml:space="preserve"> Carlos Alberto sobre ejecución fiscal - ING.BRUTOS CONVENIO MULTILATERAL”. 27/08/2025.</w:t>
      </w:r>
    </w:p>
    <w:p w14:paraId="5A49B2CE" w14:textId="66CC0816" w:rsidR="008D729D" w:rsidRDefault="00B751C3" w:rsidP="00BF427F">
      <w:pPr>
        <w:spacing w:line="360" w:lineRule="atLeast"/>
        <w:jc w:val="both"/>
        <w:rPr>
          <w:rFonts w:ascii="Arial" w:hAnsi="Arial" w:cs="Arial"/>
          <w:sz w:val="20"/>
          <w:szCs w:val="20"/>
        </w:rPr>
      </w:pPr>
      <w:r>
        <w:rPr>
          <w:rFonts w:ascii="Arial" w:hAnsi="Arial" w:cs="Arial"/>
          <w:sz w:val="20"/>
          <w:szCs w:val="20"/>
        </w:rPr>
        <w:t>Prescripción de las acciones para determinar</w:t>
      </w:r>
      <w:r w:rsidR="00653DC0">
        <w:rPr>
          <w:rFonts w:ascii="Arial" w:hAnsi="Arial" w:cs="Arial"/>
          <w:sz w:val="20"/>
          <w:szCs w:val="20"/>
        </w:rPr>
        <w:t xml:space="preserve"> tributos</w:t>
      </w:r>
      <w:r>
        <w:rPr>
          <w:rFonts w:ascii="Arial" w:hAnsi="Arial" w:cs="Arial"/>
          <w:sz w:val="20"/>
          <w:szCs w:val="20"/>
        </w:rPr>
        <w:t>.</w:t>
      </w:r>
    </w:p>
    <w:p w14:paraId="7D612B6D" w14:textId="26AF10C2" w:rsidR="00B751C3" w:rsidRDefault="00B751C3" w:rsidP="00BF427F">
      <w:pPr>
        <w:spacing w:line="360" w:lineRule="atLeast"/>
        <w:jc w:val="both"/>
        <w:rPr>
          <w:rFonts w:ascii="Arial" w:hAnsi="Arial" w:cs="Arial"/>
          <w:sz w:val="20"/>
          <w:szCs w:val="20"/>
        </w:rPr>
      </w:pPr>
      <w:r w:rsidRPr="00B751C3">
        <w:rPr>
          <w:rFonts w:ascii="Arial" w:hAnsi="Arial" w:cs="Arial"/>
          <w:sz w:val="20"/>
          <w:szCs w:val="20"/>
        </w:rPr>
        <w:t xml:space="preserve">i) Hasta el 31 de julio de 2015, la regulación de la prescripción de las acciones fiscales locales se rige por el CC ley </w:t>
      </w:r>
      <w:proofErr w:type="spellStart"/>
      <w:r w:rsidRPr="00B751C3">
        <w:rPr>
          <w:rFonts w:ascii="Arial" w:hAnsi="Arial" w:cs="Arial"/>
          <w:sz w:val="20"/>
          <w:szCs w:val="20"/>
        </w:rPr>
        <w:t>nº</w:t>
      </w:r>
      <w:proofErr w:type="spellEnd"/>
      <w:r w:rsidRPr="00B751C3">
        <w:rPr>
          <w:rFonts w:ascii="Arial" w:hAnsi="Arial" w:cs="Arial"/>
          <w:sz w:val="20"/>
          <w:szCs w:val="20"/>
        </w:rPr>
        <w:t xml:space="preserve"> 340 y sus modificaciones. </w:t>
      </w:r>
      <w:proofErr w:type="spellStart"/>
      <w:r w:rsidRPr="00B751C3">
        <w:rPr>
          <w:rFonts w:ascii="Arial" w:hAnsi="Arial" w:cs="Arial"/>
          <w:sz w:val="20"/>
          <w:szCs w:val="20"/>
        </w:rPr>
        <w:t>ii</w:t>
      </w:r>
      <w:proofErr w:type="spellEnd"/>
      <w:r w:rsidRPr="00B751C3">
        <w:rPr>
          <w:rFonts w:ascii="Arial" w:hAnsi="Arial" w:cs="Arial"/>
          <w:sz w:val="20"/>
          <w:szCs w:val="20"/>
        </w:rPr>
        <w:t xml:space="preserve">) A partir del 1º de agosto de 2015, por decisión del Congreso, esa regulación pasó a ser local, de conformidad con el art. 2532 del </w:t>
      </w:r>
      <w:proofErr w:type="spellStart"/>
      <w:r w:rsidRPr="00B751C3">
        <w:rPr>
          <w:rFonts w:ascii="Arial" w:hAnsi="Arial" w:cs="Arial"/>
          <w:sz w:val="20"/>
          <w:szCs w:val="20"/>
        </w:rPr>
        <w:t>CCCom</w:t>
      </w:r>
      <w:proofErr w:type="spellEnd"/>
      <w:r w:rsidRPr="00B751C3">
        <w:rPr>
          <w:rFonts w:ascii="Arial" w:hAnsi="Arial" w:cs="Arial"/>
          <w:sz w:val="20"/>
          <w:szCs w:val="20"/>
        </w:rPr>
        <w:t>. (no obstante mantener mi opinión expresada en 3 “</w:t>
      </w:r>
      <w:proofErr w:type="spellStart"/>
      <w:r w:rsidRPr="00B751C3">
        <w:rPr>
          <w:rFonts w:ascii="Arial" w:hAnsi="Arial" w:cs="Arial"/>
          <w:sz w:val="20"/>
          <w:szCs w:val="20"/>
        </w:rPr>
        <w:t>Fornaguera</w:t>
      </w:r>
      <w:proofErr w:type="spellEnd"/>
      <w:r w:rsidRPr="00B751C3">
        <w:rPr>
          <w:rFonts w:ascii="Arial" w:hAnsi="Arial" w:cs="Arial"/>
          <w:sz w:val="20"/>
          <w:szCs w:val="20"/>
        </w:rPr>
        <w:t xml:space="preserve"> </w:t>
      </w:r>
      <w:proofErr w:type="spellStart"/>
      <w:r w:rsidRPr="00B751C3">
        <w:rPr>
          <w:rFonts w:ascii="Arial" w:hAnsi="Arial" w:cs="Arial"/>
          <w:sz w:val="20"/>
          <w:szCs w:val="20"/>
        </w:rPr>
        <w:t>Sempe</w:t>
      </w:r>
      <w:proofErr w:type="spellEnd"/>
      <w:r w:rsidRPr="00B751C3">
        <w:rPr>
          <w:rFonts w:ascii="Arial" w:hAnsi="Arial" w:cs="Arial"/>
          <w:sz w:val="20"/>
          <w:szCs w:val="20"/>
        </w:rPr>
        <w:t xml:space="preserve">, Sara Stella y otros c/ GCBA s/ otras demandas contra la </w:t>
      </w:r>
      <w:proofErr w:type="spellStart"/>
      <w:r w:rsidRPr="00B751C3">
        <w:rPr>
          <w:rFonts w:ascii="Arial" w:hAnsi="Arial" w:cs="Arial"/>
          <w:sz w:val="20"/>
          <w:szCs w:val="20"/>
        </w:rPr>
        <w:t>Aut</w:t>
      </w:r>
      <w:proofErr w:type="spellEnd"/>
      <w:r w:rsidRPr="00B751C3">
        <w:rPr>
          <w:rFonts w:ascii="Arial" w:hAnsi="Arial" w:cs="Arial"/>
          <w:sz w:val="20"/>
          <w:szCs w:val="20"/>
        </w:rPr>
        <w:t xml:space="preserve">. Administrativa s/ recurso de inconstitucionalidad concedido" [expediente </w:t>
      </w:r>
      <w:proofErr w:type="spellStart"/>
      <w:r w:rsidRPr="00B751C3">
        <w:rPr>
          <w:rFonts w:ascii="Arial" w:hAnsi="Arial" w:cs="Arial"/>
          <w:sz w:val="20"/>
          <w:szCs w:val="20"/>
        </w:rPr>
        <w:t>nº</w:t>
      </w:r>
      <w:proofErr w:type="spellEnd"/>
      <w:r w:rsidRPr="00B751C3">
        <w:rPr>
          <w:rFonts w:ascii="Arial" w:hAnsi="Arial" w:cs="Arial"/>
          <w:sz w:val="20"/>
          <w:szCs w:val="20"/>
        </w:rPr>
        <w:t xml:space="preserve"> 11148/14, sentencia del 23 de octubre de 2015], entre muchos otros, respecto a que el Congreso, en esa oportunidad, no hizo más que reconocer expresamente esa competencia como local). Recordemos que esa decisión del Congreso es legítima incluso desde el ángulo de quienes sostienen la interpretación con arreglo a la cual esa sería una competencia delegada en el marco del art. 75 inc. 12 de la CN, pues el art. 2532, en esa interpretación, lo único que hace es exteriorizar la voluntad del Congreso de no querer ejercerla, circunstancia que la ubica en el ámbito local por imperio del art. 126 </w:t>
      </w:r>
      <w:r w:rsidRPr="00B751C3">
        <w:rPr>
          <w:rFonts w:ascii="Arial" w:hAnsi="Arial" w:cs="Arial"/>
          <w:sz w:val="20"/>
          <w:szCs w:val="20"/>
        </w:rPr>
        <w:lastRenderedPageBreak/>
        <w:t xml:space="preserve">de la CN. </w:t>
      </w:r>
      <w:proofErr w:type="spellStart"/>
      <w:r w:rsidRPr="00B751C3">
        <w:rPr>
          <w:rFonts w:ascii="Arial" w:hAnsi="Arial" w:cs="Arial"/>
          <w:sz w:val="20"/>
          <w:szCs w:val="20"/>
        </w:rPr>
        <w:t>iii</w:t>
      </w:r>
      <w:proofErr w:type="spellEnd"/>
      <w:r w:rsidRPr="00B751C3">
        <w:rPr>
          <w:rFonts w:ascii="Arial" w:hAnsi="Arial" w:cs="Arial"/>
          <w:sz w:val="20"/>
          <w:szCs w:val="20"/>
        </w:rPr>
        <w:t xml:space="preserve">) La solución del art. 2532 del </w:t>
      </w:r>
      <w:proofErr w:type="spellStart"/>
      <w:r w:rsidRPr="00B751C3">
        <w:rPr>
          <w:rFonts w:ascii="Arial" w:hAnsi="Arial" w:cs="Arial"/>
          <w:sz w:val="20"/>
          <w:szCs w:val="20"/>
        </w:rPr>
        <w:t>CCCom</w:t>
      </w:r>
      <w:proofErr w:type="spellEnd"/>
      <w:r w:rsidRPr="00B751C3">
        <w:rPr>
          <w:rFonts w:ascii="Arial" w:hAnsi="Arial" w:cs="Arial"/>
          <w:sz w:val="20"/>
          <w:szCs w:val="20"/>
        </w:rPr>
        <w:t xml:space="preserve">., a saber, que es competencia local regular la prescripción de las acciones fiscales, es de aplicación inmediata, tal como fue señalado por la Corte en el recordado precedente “Volkswagen”. Eso significa que todas las acciones cuya prescripción no hubiere corrido por completo, con arreglo a las previsiones del derogado CC, al tiempo en que entró en vigor el </w:t>
      </w:r>
      <w:proofErr w:type="spellStart"/>
      <w:r w:rsidRPr="00B751C3">
        <w:rPr>
          <w:rFonts w:ascii="Arial" w:hAnsi="Arial" w:cs="Arial"/>
          <w:sz w:val="20"/>
          <w:szCs w:val="20"/>
        </w:rPr>
        <w:t>CCCom</w:t>
      </w:r>
      <w:proofErr w:type="spellEnd"/>
      <w:r w:rsidRPr="00B751C3">
        <w:rPr>
          <w:rFonts w:ascii="Arial" w:hAnsi="Arial" w:cs="Arial"/>
          <w:sz w:val="20"/>
          <w:szCs w:val="20"/>
        </w:rPr>
        <w:t>. y comenzó así a operar la regla del 2532, quedaron sujetas a las normas locales que regulan esa prescripción.</w:t>
      </w:r>
    </w:p>
    <w:p w14:paraId="11AF505A" w14:textId="77777777" w:rsidR="00653DC0" w:rsidRDefault="00653DC0" w:rsidP="00BF427F">
      <w:pPr>
        <w:spacing w:line="360" w:lineRule="atLeast"/>
        <w:jc w:val="both"/>
        <w:rPr>
          <w:rFonts w:ascii="Arial" w:hAnsi="Arial" w:cs="Arial"/>
          <w:sz w:val="20"/>
          <w:szCs w:val="20"/>
        </w:rPr>
      </w:pPr>
    </w:p>
    <w:p w14:paraId="7F78AD05" w14:textId="3EFB8B69" w:rsidR="00150BFA" w:rsidRPr="00150BFA" w:rsidRDefault="00150BFA" w:rsidP="00217C32">
      <w:pPr>
        <w:pStyle w:val="Prrafodelista"/>
        <w:numPr>
          <w:ilvl w:val="0"/>
          <w:numId w:val="4"/>
        </w:numPr>
        <w:spacing w:line="360" w:lineRule="atLeast"/>
        <w:jc w:val="both"/>
        <w:rPr>
          <w:rFonts w:ascii="Arial" w:hAnsi="Arial" w:cs="Arial"/>
          <w:b/>
          <w:bCs/>
          <w:sz w:val="20"/>
          <w:szCs w:val="20"/>
        </w:rPr>
      </w:pPr>
      <w:r w:rsidRPr="00150BFA">
        <w:rPr>
          <w:rFonts w:ascii="Arial" w:hAnsi="Arial" w:cs="Arial"/>
          <w:b/>
          <w:bCs/>
          <w:sz w:val="20"/>
          <w:szCs w:val="20"/>
        </w:rPr>
        <w:t>Tribunal Superior de Justicia de la Ciudad Autónoma de Buenos Aires. “GCBA s/ queja por recurso de inconstitucionalidad denegado en HP FINANCIAL SERVICES ARGENTINA SRL contra GCBA sobre impugnación de actos administrativos”. 14/05/2025.</w:t>
      </w:r>
    </w:p>
    <w:p w14:paraId="45ED7440" w14:textId="77777777" w:rsidR="00A455BD" w:rsidRDefault="008D19F5" w:rsidP="00150BFA">
      <w:pPr>
        <w:spacing w:line="360" w:lineRule="atLeast"/>
        <w:jc w:val="both"/>
        <w:rPr>
          <w:rFonts w:ascii="Arial" w:hAnsi="Arial" w:cs="Arial"/>
          <w:sz w:val="20"/>
          <w:szCs w:val="20"/>
        </w:rPr>
      </w:pPr>
      <w:r>
        <w:rPr>
          <w:rFonts w:ascii="Arial" w:hAnsi="Arial" w:cs="Arial"/>
          <w:sz w:val="20"/>
          <w:szCs w:val="20"/>
        </w:rPr>
        <w:t>P</w:t>
      </w:r>
      <w:r w:rsidRPr="008D19F5">
        <w:rPr>
          <w:rFonts w:ascii="Arial" w:hAnsi="Arial" w:cs="Arial"/>
          <w:sz w:val="20"/>
          <w:szCs w:val="20"/>
        </w:rPr>
        <w:t>rincipio de legalidad en materia tributaria</w:t>
      </w:r>
      <w:r>
        <w:rPr>
          <w:rFonts w:ascii="Arial" w:hAnsi="Arial" w:cs="Arial"/>
          <w:sz w:val="20"/>
          <w:szCs w:val="20"/>
        </w:rPr>
        <w:t xml:space="preserve">. Contrato de leasing y </w:t>
      </w:r>
      <w:r w:rsidRPr="008D19F5">
        <w:rPr>
          <w:rFonts w:ascii="Arial" w:hAnsi="Arial" w:cs="Arial"/>
          <w:sz w:val="20"/>
          <w:szCs w:val="20"/>
        </w:rPr>
        <w:t>leasing financiero</w:t>
      </w:r>
      <w:r w:rsidR="00A455BD">
        <w:rPr>
          <w:rFonts w:ascii="Arial" w:hAnsi="Arial" w:cs="Arial"/>
          <w:sz w:val="20"/>
          <w:szCs w:val="20"/>
        </w:rPr>
        <w:t>.</w:t>
      </w:r>
    </w:p>
    <w:p w14:paraId="0714BE25" w14:textId="4D0C3F49" w:rsidR="00A455BD" w:rsidRDefault="00A455BD" w:rsidP="00A455BD">
      <w:pPr>
        <w:spacing w:line="360" w:lineRule="atLeast"/>
        <w:jc w:val="both"/>
        <w:rPr>
          <w:rFonts w:ascii="Arial" w:hAnsi="Arial" w:cs="Arial"/>
          <w:sz w:val="20"/>
          <w:szCs w:val="20"/>
        </w:rPr>
      </w:pPr>
      <w:r>
        <w:rPr>
          <w:rFonts w:ascii="Arial" w:hAnsi="Arial" w:cs="Arial"/>
          <w:sz w:val="20"/>
          <w:szCs w:val="20"/>
        </w:rPr>
        <w:t>Violación del principio de legalidad. Improcedencia de la delegación de las facultades tributarias a la administración. Se hace lugar a la queja y a la demanda.</w:t>
      </w:r>
    </w:p>
    <w:p w14:paraId="46667888" w14:textId="73F5B0D1" w:rsidR="00150BFA" w:rsidRDefault="00150BFA" w:rsidP="00150BFA">
      <w:pPr>
        <w:spacing w:line="360" w:lineRule="atLeast"/>
        <w:jc w:val="both"/>
        <w:rPr>
          <w:rFonts w:ascii="Arial" w:hAnsi="Arial" w:cs="Arial"/>
          <w:sz w:val="20"/>
          <w:szCs w:val="20"/>
        </w:rPr>
      </w:pPr>
    </w:p>
    <w:p w14:paraId="70B6C2E2" w14:textId="524E0163" w:rsidR="00FF4519" w:rsidRPr="00A903D4" w:rsidRDefault="00FF4519" w:rsidP="00C236D9">
      <w:pPr>
        <w:pStyle w:val="Prrafodelista"/>
        <w:numPr>
          <w:ilvl w:val="0"/>
          <w:numId w:val="4"/>
        </w:numPr>
        <w:spacing w:line="360" w:lineRule="atLeast"/>
        <w:jc w:val="both"/>
        <w:rPr>
          <w:rFonts w:ascii="Arial" w:hAnsi="Arial" w:cs="Arial"/>
          <w:b/>
          <w:bCs/>
          <w:sz w:val="20"/>
          <w:szCs w:val="20"/>
        </w:rPr>
      </w:pPr>
      <w:r w:rsidRPr="00A903D4">
        <w:rPr>
          <w:rFonts w:ascii="Arial" w:hAnsi="Arial" w:cs="Arial"/>
          <w:b/>
          <w:bCs/>
          <w:sz w:val="20"/>
          <w:szCs w:val="20"/>
        </w:rPr>
        <w:t xml:space="preserve">Cámara Federal de Rosario. Sala A. “Compañía de Transporte de Energía Eléctrica en Alta Tensión Transener SA C/ Comuna de </w:t>
      </w:r>
      <w:proofErr w:type="spellStart"/>
      <w:r w:rsidRPr="00A903D4">
        <w:rPr>
          <w:rFonts w:ascii="Arial" w:hAnsi="Arial" w:cs="Arial"/>
          <w:b/>
          <w:bCs/>
          <w:sz w:val="20"/>
          <w:szCs w:val="20"/>
        </w:rPr>
        <w:t>Cayastacito</w:t>
      </w:r>
      <w:proofErr w:type="spellEnd"/>
      <w:r w:rsidRPr="00A903D4">
        <w:rPr>
          <w:rFonts w:ascii="Arial" w:hAnsi="Arial" w:cs="Arial"/>
          <w:b/>
          <w:bCs/>
          <w:sz w:val="20"/>
          <w:szCs w:val="20"/>
        </w:rPr>
        <w:t xml:space="preserve"> S/ Acción Meramente Declarativa </w:t>
      </w:r>
      <w:r w:rsidR="00A903D4" w:rsidRPr="00A903D4">
        <w:rPr>
          <w:rFonts w:ascii="Arial" w:hAnsi="Arial" w:cs="Arial"/>
          <w:b/>
          <w:bCs/>
          <w:sz w:val="20"/>
          <w:szCs w:val="20"/>
        </w:rPr>
        <w:t>d</w:t>
      </w:r>
      <w:r w:rsidRPr="00A903D4">
        <w:rPr>
          <w:rFonts w:ascii="Arial" w:hAnsi="Arial" w:cs="Arial"/>
          <w:b/>
          <w:bCs/>
          <w:sz w:val="20"/>
          <w:szCs w:val="20"/>
        </w:rPr>
        <w:t>e</w:t>
      </w:r>
      <w:r w:rsidR="00A903D4" w:rsidRPr="00A903D4">
        <w:rPr>
          <w:rFonts w:ascii="Arial" w:hAnsi="Arial" w:cs="Arial"/>
          <w:b/>
          <w:bCs/>
          <w:sz w:val="20"/>
          <w:szCs w:val="20"/>
        </w:rPr>
        <w:t xml:space="preserve"> </w:t>
      </w:r>
      <w:r w:rsidRPr="00A903D4">
        <w:rPr>
          <w:rFonts w:ascii="Arial" w:hAnsi="Arial" w:cs="Arial"/>
          <w:b/>
          <w:bCs/>
          <w:sz w:val="20"/>
          <w:szCs w:val="20"/>
        </w:rPr>
        <w:t>Inconstitucionalidad”</w:t>
      </w:r>
      <w:r w:rsidR="00A903D4" w:rsidRPr="00A903D4">
        <w:rPr>
          <w:rFonts w:ascii="Arial" w:hAnsi="Arial" w:cs="Arial"/>
          <w:b/>
          <w:bCs/>
          <w:sz w:val="20"/>
          <w:szCs w:val="20"/>
        </w:rPr>
        <w:t>.</w:t>
      </w:r>
    </w:p>
    <w:p w14:paraId="079730D6" w14:textId="249F247C" w:rsidR="00A903D4" w:rsidRDefault="00A903D4" w:rsidP="00A903D4">
      <w:pPr>
        <w:spacing w:line="360" w:lineRule="atLeast"/>
        <w:jc w:val="both"/>
        <w:rPr>
          <w:rFonts w:ascii="Arial" w:hAnsi="Arial" w:cs="Arial"/>
          <w:sz w:val="20"/>
          <w:szCs w:val="20"/>
        </w:rPr>
      </w:pPr>
      <w:r w:rsidRPr="00A903D4">
        <w:rPr>
          <w:rFonts w:ascii="Arial" w:hAnsi="Arial" w:cs="Arial"/>
          <w:sz w:val="20"/>
          <w:szCs w:val="20"/>
        </w:rPr>
        <w:t>La Cámara Federal de Rosario confirmó el rechazo a una medida cautelar para no pagar una tasa municipal exigida por el control de las estructuras y antenas de una empresa de distribución de energía eléctrica, sosteniendo que tal tributo no interfiere en la regulación nacional y que no exist</w:t>
      </w:r>
      <w:r>
        <w:rPr>
          <w:rFonts w:ascii="Arial" w:hAnsi="Arial" w:cs="Arial"/>
          <w:sz w:val="20"/>
          <w:szCs w:val="20"/>
        </w:rPr>
        <w:t>e</w:t>
      </w:r>
      <w:r w:rsidRPr="00A903D4">
        <w:rPr>
          <w:rFonts w:ascii="Arial" w:hAnsi="Arial" w:cs="Arial"/>
          <w:sz w:val="20"/>
          <w:szCs w:val="20"/>
        </w:rPr>
        <w:t xml:space="preserve"> el peligro en la demora que exige toda medida cautelar al no probarse que el monto reclamado pudiera intervenir con el normal desenvolvimiento de la empresa.</w:t>
      </w:r>
    </w:p>
    <w:p w14:paraId="3A3B92B9" w14:textId="77777777" w:rsidR="00A903D4" w:rsidRPr="00A903D4" w:rsidRDefault="00A903D4" w:rsidP="00A903D4">
      <w:pPr>
        <w:spacing w:line="360" w:lineRule="atLeast"/>
        <w:jc w:val="both"/>
        <w:rPr>
          <w:rFonts w:ascii="Arial" w:hAnsi="Arial" w:cs="Arial"/>
          <w:sz w:val="20"/>
          <w:szCs w:val="20"/>
        </w:rPr>
      </w:pPr>
    </w:p>
    <w:p w14:paraId="6725C3E4" w14:textId="0F49A441" w:rsidR="00BF427F" w:rsidRPr="0047717F" w:rsidRDefault="00721E7E" w:rsidP="00BF427F">
      <w:pPr>
        <w:pStyle w:val="Prrafodelista"/>
        <w:numPr>
          <w:ilvl w:val="0"/>
          <w:numId w:val="4"/>
        </w:numPr>
        <w:spacing w:line="360" w:lineRule="atLeast"/>
        <w:jc w:val="both"/>
        <w:rPr>
          <w:rFonts w:ascii="Arial" w:hAnsi="Arial" w:cs="Arial"/>
          <w:b/>
          <w:bCs/>
          <w:sz w:val="20"/>
          <w:szCs w:val="20"/>
        </w:rPr>
      </w:pPr>
      <w:r w:rsidRPr="0047717F">
        <w:rPr>
          <w:rFonts w:ascii="Arial" w:hAnsi="Arial" w:cs="Arial"/>
          <w:b/>
          <w:bCs/>
          <w:sz w:val="20"/>
          <w:szCs w:val="20"/>
        </w:rPr>
        <w:t>“</w:t>
      </w:r>
      <w:r w:rsidR="00A13093" w:rsidRPr="0047717F">
        <w:rPr>
          <w:rFonts w:ascii="Arial" w:hAnsi="Arial" w:cs="Arial"/>
          <w:b/>
          <w:bCs/>
          <w:sz w:val="20"/>
          <w:szCs w:val="20"/>
        </w:rPr>
        <w:t xml:space="preserve">Berisso Francisco </w:t>
      </w:r>
      <w:r w:rsidR="00021F56">
        <w:rPr>
          <w:rFonts w:ascii="Arial" w:hAnsi="Arial" w:cs="Arial"/>
          <w:b/>
          <w:bCs/>
          <w:sz w:val="20"/>
          <w:szCs w:val="20"/>
        </w:rPr>
        <w:t>y</w:t>
      </w:r>
      <w:r w:rsidR="00A13093" w:rsidRPr="0047717F">
        <w:rPr>
          <w:rFonts w:ascii="Arial" w:hAnsi="Arial" w:cs="Arial"/>
          <w:b/>
          <w:bCs/>
          <w:sz w:val="20"/>
          <w:szCs w:val="20"/>
        </w:rPr>
        <w:t xml:space="preserve"> Otros c/ Municipalidad de </w:t>
      </w:r>
      <w:r w:rsidR="00021F56" w:rsidRPr="0047717F">
        <w:rPr>
          <w:rFonts w:ascii="Arial" w:hAnsi="Arial" w:cs="Arial"/>
          <w:b/>
          <w:bCs/>
          <w:sz w:val="20"/>
          <w:szCs w:val="20"/>
        </w:rPr>
        <w:t>Hipólito</w:t>
      </w:r>
      <w:r w:rsidR="00A13093" w:rsidRPr="0047717F">
        <w:rPr>
          <w:rFonts w:ascii="Arial" w:hAnsi="Arial" w:cs="Arial"/>
          <w:b/>
          <w:bCs/>
          <w:sz w:val="20"/>
          <w:szCs w:val="20"/>
        </w:rPr>
        <w:t xml:space="preserve"> Yrigoyen s/ Amparo”</w:t>
      </w:r>
      <w:r w:rsidR="00835993" w:rsidRPr="0047717F">
        <w:rPr>
          <w:rFonts w:ascii="Arial" w:hAnsi="Arial" w:cs="Arial"/>
          <w:b/>
          <w:bCs/>
          <w:sz w:val="20"/>
          <w:szCs w:val="20"/>
        </w:rPr>
        <w:t>. Juzgado en lo Contencioso Administrativo de Trenque Lauquen</w:t>
      </w:r>
      <w:r w:rsidR="00DF737E" w:rsidRPr="0047717F">
        <w:rPr>
          <w:rFonts w:ascii="Arial" w:hAnsi="Arial" w:cs="Arial"/>
          <w:b/>
          <w:bCs/>
          <w:sz w:val="20"/>
          <w:szCs w:val="20"/>
        </w:rPr>
        <w:t xml:space="preserve">. </w:t>
      </w:r>
      <w:r w:rsidR="002C78C1" w:rsidRPr="0047717F">
        <w:rPr>
          <w:rFonts w:ascii="Arial" w:hAnsi="Arial" w:cs="Arial"/>
          <w:b/>
          <w:bCs/>
          <w:sz w:val="20"/>
          <w:szCs w:val="20"/>
        </w:rPr>
        <w:t>16/07/2025</w:t>
      </w:r>
      <w:r w:rsidR="00021F56">
        <w:rPr>
          <w:rFonts w:ascii="Arial" w:hAnsi="Arial" w:cs="Arial"/>
          <w:b/>
          <w:bCs/>
          <w:sz w:val="20"/>
          <w:szCs w:val="20"/>
        </w:rPr>
        <w:t xml:space="preserve">. Pablo </w:t>
      </w:r>
      <w:proofErr w:type="spellStart"/>
      <w:r w:rsidR="00021F56">
        <w:rPr>
          <w:rFonts w:ascii="Arial" w:hAnsi="Arial" w:cs="Arial"/>
          <w:b/>
          <w:bCs/>
          <w:sz w:val="20"/>
          <w:szCs w:val="20"/>
        </w:rPr>
        <w:t>Abdon</w:t>
      </w:r>
      <w:proofErr w:type="spellEnd"/>
      <w:r w:rsidR="00021F56">
        <w:rPr>
          <w:rFonts w:ascii="Arial" w:hAnsi="Arial" w:cs="Arial"/>
          <w:b/>
          <w:bCs/>
          <w:sz w:val="20"/>
          <w:szCs w:val="20"/>
        </w:rPr>
        <w:t xml:space="preserve"> Torres </w:t>
      </w:r>
      <w:proofErr w:type="spellStart"/>
      <w:r w:rsidR="00021F56">
        <w:rPr>
          <w:rFonts w:ascii="Arial" w:hAnsi="Arial" w:cs="Arial"/>
          <w:b/>
          <w:bCs/>
          <w:sz w:val="20"/>
          <w:szCs w:val="20"/>
        </w:rPr>
        <w:t>Barthe</w:t>
      </w:r>
      <w:proofErr w:type="spellEnd"/>
    </w:p>
    <w:p w14:paraId="4E8A4D54" w14:textId="7D2AA21C" w:rsidR="00721E7E" w:rsidRDefault="0047717F" w:rsidP="00187143">
      <w:pPr>
        <w:spacing w:line="360" w:lineRule="atLeast"/>
        <w:jc w:val="both"/>
        <w:rPr>
          <w:rFonts w:ascii="Arial" w:hAnsi="Arial" w:cs="Arial"/>
          <w:sz w:val="20"/>
          <w:szCs w:val="20"/>
        </w:rPr>
      </w:pPr>
      <w:r w:rsidRPr="0047717F">
        <w:rPr>
          <w:rFonts w:ascii="Arial" w:hAnsi="Arial" w:cs="Arial"/>
          <w:sz w:val="20"/>
          <w:szCs w:val="20"/>
        </w:rPr>
        <w:t>Pedido de a</w:t>
      </w:r>
      <w:r w:rsidR="00DF737E" w:rsidRPr="0047717F">
        <w:rPr>
          <w:rFonts w:ascii="Arial" w:hAnsi="Arial" w:cs="Arial"/>
          <w:sz w:val="20"/>
          <w:szCs w:val="20"/>
        </w:rPr>
        <w:t>cceso a la información pública</w:t>
      </w:r>
      <w:r w:rsidR="00030D32">
        <w:rPr>
          <w:rFonts w:ascii="Arial" w:hAnsi="Arial" w:cs="Arial"/>
          <w:sz w:val="20"/>
          <w:szCs w:val="20"/>
        </w:rPr>
        <w:t>. T</w:t>
      </w:r>
      <w:r w:rsidR="00030D32" w:rsidRPr="00030D32">
        <w:rPr>
          <w:rFonts w:ascii="Arial" w:hAnsi="Arial" w:cs="Arial"/>
          <w:sz w:val="20"/>
          <w:szCs w:val="20"/>
        </w:rPr>
        <w:t>asa de mantenimiento de caminos</w:t>
      </w:r>
      <w:r w:rsidR="00030D32">
        <w:rPr>
          <w:rFonts w:ascii="Arial" w:hAnsi="Arial" w:cs="Arial"/>
          <w:sz w:val="20"/>
          <w:szCs w:val="20"/>
        </w:rPr>
        <w:t xml:space="preserve"> </w:t>
      </w:r>
      <w:r w:rsidR="00030D32" w:rsidRPr="00030D32">
        <w:rPr>
          <w:rFonts w:ascii="Arial" w:hAnsi="Arial" w:cs="Arial"/>
          <w:sz w:val="20"/>
          <w:szCs w:val="20"/>
        </w:rPr>
        <w:t>rurales</w:t>
      </w:r>
      <w:r w:rsidR="00030D32">
        <w:rPr>
          <w:rFonts w:ascii="Arial" w:hAnsi="Arial" w:cs="Arial"/>
          <w:sz w:val="20"/>
          <w:szCs w:val="20"/>
        </w:rPr>
        <w:t xml:space="preserve">. </w:t>
      </w:r>
      <w:r w:rsidR="00187143">
        <w:rPr>
          <w:rFonts w:ascii="Arial" w:hAnsi="Arial" w:cs="Arial"/>
          <w:sz w:val="20"/>
          <w:szCs w:val="20"/>
        </w:rPr>
        <w:t>L</w:t>
      </w:r>
      <w:r w:rsidR="00187143" w:rsidRPr="00187143">
        <w:rPr>
          <w:rFonts w:ascii="Arial" w:hAnsi="Arial" w:cs="Arial"/>
          <w:sz w:val="20"/>
          <w:szCs w:val="20"/>
        </w:rPr>
        <w:t>a información presupuestaria, económico financiera y de desempeño fiscal municipal reviste carácter público, no solo por ser</w:t>
      </w:r>
      <w:r w:rsidR="001454BC">
        <w:rPr>
          <w:rFonts w:ascii="Arial" w:hAnsi="Arial" w:cs="Arial"/>
          <w:sz w:val="20"/>
          <w:szCs w:val="20"/>
        </w:rPr>
        <w:t xml:space="preserve"> </w:t>
      </w:r>
      <w:r w:rsidR="00187143" w:rsidRPr="00187143">
        <w:rPr>
          <w:rFonts w:ascii="Arial" w:hAnsi="Arial" w:cs="Arial"/>
          <w:sz w:val="20"/>
          <w:szCs w:val="20"/>
        </w:rPr>
        <w:t>materia inherente al control del gobierno, sino también porque sus recursos se conforman sustancialmente con los aportes de los</w:t>
      </w:r>
      <w:r w:rsidR="001454BC">
        <w:rPr>
          <w:rFonts w:ascii="Arial" w:hAnsi="Arial" w:cs="Arial"/>
          <w:sz w:val="20"/>
          <w:szCs w:val="20"/>
        </w:rPr>
        <w:t xml:space="preserve"> </w:t>
      </w:r>
      <w:r w:rsidR="00187143" w:rsidRPr="00187143">
        <w:rPr>
          <w:rFonts w:ascii="Arial" w:hAnsi="Arial" w:cs="Arial"/>
          <w:sz w:val="20"/>
          <w:szCs w:val="20"/>
        </w:rPr>
        <w:t>ciudadanos</w:t>
      </w:r>
      <w:r w:rsidR="001454BC">
        <w:rPr>
          <w:rFonts w:ascii="Arial" w:hAnsi="Arial" w:cs="Arial"/>
          <w:sz w:val="20"/>
          <w:szCs w:val="20"/>
        </w:rPr>
        <w:t>. Se hace lugar al amparo.</w:t>
      </w:r>
    </w:p>
    <w:p w14:paraId="2ED8F465" w14:textId="6A9D4C38" w:rsidR="00BF427F" w:rsidRPr="00D7005D" w:rsidRDefault="00BF427F" w:rsidP="00BF427F">
      <w:pPr>
        <w:spacing w:line="360" w:lineRule="atLeast"/>
        <w:jc w:val="both"/>
        <w:rPr>
          <w:rFonts w:ascii="Arial" w:hAnsi="Arial" w:cs="Arial"/>
          <w:sz w:val="20"/>
          <w:szCs w:val="20"/>
        </w:rPr>
      </w:pPr>
    </w:p>
    <w:p w14:paraId="62557FB4" w14:textId="77777777" w:rsidR="00D7005D" w:rsidRPr="00021F56" w:rsidRDefault="00E41F76" w:rsidP="00BA6ADD">
      <w:pPr>
        <w:pStyle w:val="Prrafodelista"/>
        <w:numPr>
          <w:ilvl w:val="0"/>
          <w:numId w:val="4"/>
        </w:numPr>
        <w:spacing w:line="360" w:lineRule="atLeast"/>
        <w:jc w:val="both"/>
        <w:rPr>
          <w:rFonts w:ascii="Arial" w:hAnsi="Arial" w:cs="Arial"/>
          <w:b/>
          <w:bCs/>
          <w:sz w:val="20"/>
          <w:szCs w:val="20"/>
        </w:rPr>
      </w:pPr>
      <w:r w:rsidRPr="00021F56">
        <w:rPr>
          <w:rFonts w:ascii="Arial" w:hAnsi="Arial" w:cs="Arial"/>
          <w:b/>
          <w:bCs/>
          <w:sz w:val="20"/>
          <w:szCs w:val="20"/>
        </w:rPr>
        <w:t xml:space="preserve">Cámara de Apelaciones en lo Contencioso Administrativo, Tributario y de Relaciones de Consumo de la Ciudad de Buenos Aires en los autos caratulados “GCBA contra </w:t>
      </w:r>
      <w:proofErr w:type="spellStart"/>
      <w:r w:rsidRPr="00021F56">
        <w:rPr>
          <w:rFonts w:ascii="Arial" w:hAnsi="Arial" w:cs="Arial"/>
          <w:b/>
          <w:bCs/>
          <w:sz w:val="20"/>
          <w:szCs w:val="20"/>
        </w:rPr>
        <w:t>Valthe</w:t>
      </w:r>
      <w:proofErr w:type="spellEnd"/>
      <w:r w:rsidRPr="00021F56">
        <w:rPr>
          <w:rFonts w:ascii="Arial" w:hAnsi="Arial" w:cs="Arial"/>
          <w:b/>
          <w:bCs/>
          <w:sz w:val="20"/>
          <w:szCs w:val="20"/>
        </w:rPr>
        <w:t xml:space="preserve"> ING SRL s/ejecución fiscal - ingresos brutos”. 27/8/2025. </w:t>
      </w:r>
    </w:p>
    <w:p w14:paraId="68BBDCC8" w14:textId="05111242" w:rsidR="00BF427F" w:rsidRPr="00021F56" w:rsidRDefault="00E41F76" w:rsidP="00021F56">
      <w:pPr>
        <w:spacing w:line="360" w:lineRule="atLeast"/>
        <w:jc w:val="both"/>
        <w:rPr>
          <w:rFonts w:ascii="Arial" w:hAnsi="Arial" w:cs="Arial"/>
          <w:sz w:val="20"/>
          <w:szCs w:val="20"/>
        </w:rPr>
      </w:pPr>
      <w:r w:rsidRPr="00021F56">
        <w:rPr>
          <w:rFonts w:ascii="Arial" w:hAnsi="Arial" w:cs="Arial"/>
          <w:sz w:val="20"/>
          <w:szCs w:val="20"/>
        </w:rPr>
        <w:lastRenderedPageBreak/>
        <w:t>La Sala III de la Cámara de Apelaciones en lo Contencioso Administrativo, Tributario y de Relaciones de Consumo de la Ciudad de Buenos Aires resolvió revocar una ejecución fiscal iniciada por el Gobierno de la Ciudad Autónoma de Buenos Aires contra una sociedad cordobesa, al considerar inválida una intimación realizada únicamente por notificación electrónica. El fallo reafirma que el régimen de pagos a cuenta -de carácter excepcional- requiere una intimación fehaciente, destacando que la tecnología no puede desplazar las garantías constitucionales del debido proceso. Esta decisión limita el alcance de las notificaciones electrónicas y consolida jurisprudencia que prioriza la protección de los contribuyentes frente a prácticas recaudatorias que omiten requisitos formales esenciales.</w:t>
      </w:r>
    </w:p>
    <w:p w14:paraId="7ED073B0" w14:textId="77777777" w:rsidR="00D7005D" w:rsidRPr="00D7005D" w:rsidRDefault="00D7005D" w:rsidP="00D7005D">
      <w:pPr>
        <w:pStyle w:val="Prrafodelista"/>
        <w:spacing w:line="360" w:lineRule="atLeast"/>
        <w:ind w:left="360"/>
        <w:jc w:val="both"/>
        <w:rPr>
          <w:rFonts w:ascii="Arial" w:hAnsi="Arial" w:cs="Arial"/>
          <w:sz w:val="20"/>
          <w:szCs w:val="20"/>
        </w:rPr>
      </w:pPr>
    </w:p>
    <w:p w14:paraId="3AFADA6D" w14:textId="545A2DA7" w:rsidR="00335D14" w:rsidRDefault="001B5503" w:rsidP="001B5503">
      <w:pPr>
        <w:pStyle w:val="Prrafodelista"/>
        <w:numPr>
          <w:ilvl w:val="0"/>
          <w:numId w:val="5"/>
        </w:numPr>
        <w:spacing w:line="360" w:lineRule="atLeast"/>
        <w:jc w:val="both"/>
        <w:rPr>
          <w:rFonts w:ascii="Arial" w:hAnsi="Arial" w:cs="Arial"/>
          <w:b/>
          <w:bCs/>
          <w:sz w:val="20"/>
          <w:szCs w:val="20"/>
        </w:rPr>
      </w:pPr>
      <w:r w:rsidRPr="001B5503">
        <w:rPr>
          <w:rFonts w:ascii="Arial" w:hAnsi="Arial" w:cs="Arial"/>
          <w:b/>
          <w:bCs/>
          <w:sz w:val="20"/>
          <w:szCs w:val="20"/>
        </w:rPr>
        <w:t xml:space="preserve">JURISPRUDENCIA ADMINISTRATIVA </w:t>
      </w:r>
    </w:p>
    <w:p w14:paraId="73451E79" w14:textId="7F65ACAB" w:rsidR="001561F1" w:rsidRPr="004037F1" w:rsidRDefault="004037F1" w:rsidP="0023019B">
      <w:pPr>
        <w:pStyle w:val="Prrafodelista"/>
        <w:numPr>
          <w:ilvl w:val="0"/>
          <w:numId w:val="4"/>
        </w:numPr>
        <w:spacing w:line="360" w:lineRule="atLeast"/>
        <w:jc w:val="both"/>
        <w:rPr>
          <w:rFonts w:ascii="Arial" w:hAnsi="Arial" w:cs="Arial"/>
          <w:sz w:val="20"/>
          <w:szCs w:val="20"/>
        </w:rPr>
      </w:pPr>
      <w:r>
        <w:rPr>
          <w:rFonts w:ascii="Arial" w:hAnsi="Arial" w:cs="Arial"/>
          <w:b/>
          <w:bCs/>
          <w:sz w:val="20"/>
          <w:szCs w:val="20"/>
        </w:rPr>
        <w:t xml:space="preserve">SANTA FE. </w:t>
      </w:r>
      <w:r w:rsidRPr="004037F1">
        <w:rPr>
          <w:rFonts w:ascii="Arial" w:hAnsi="Arial" w:cs="Arial"/>
          <w:b/>
          <w:bCs/>
          <w:sz w:val="20"/>
          <w:szCs w:val="20"/>
        </w:rPr>
        <w:t>Resolución Individual N° 0057/2025</w:t>
      </w:r>
      <w:r w:rsidR="006D2E73">
        <w:rPr>
          <w:rFonts w:ascii="Arial" w:hAnsi="Arial" w:cs="Arial"/>
          <w:b/>
          <w:bCs/>
          <w:sz w:val="20"/>
          <w:szCs w:val="20"/>
        </w:rPr>
        <w:t>,</w:t>
      </w:r>
      <w:r>
        <w:rPr>
          <w:rFonts w:ascii="Arial" w:hAnsi="Arial" w:cs="Arial"/>
          <w:b/>
          <w:bCs/>
          <w:sz w:val="20"/>
          <w:szCs w:val="20"/>
        </w:rPr>
        <w:t xml:space="preserve"> </w:t>
      </w:r>
      <w:r w:rsidRPr="004037F1">
        <w:rPr>
          <w:rFonts w:ascii="Arial" w:hAnsi="Arial" w:cs="Arial"/>
          <w:b/>
          <w:bCs/>
          <w:sz w:val="20"/>
          <w:szCs w:val="20"/>
        </w:rPr>
        <w:t>0056/2025</w:t>
      </w:r>
      <w:r w:rsidR="006D2E73">
        <w:rPr>
          <w:rFonts w:ascii="Arial" w:hAnsi="Arial" w:cs="Arial"/>
          <w:b/>
          <w:bCs/>
          <w:sz w:val="20"/>
          <w:szCs w:val="20"/>
        </w:rPr>
        <w:t xml:space="preserve">, </w:t>
      </w:r>
      <w:r w:rsidR="006D2E73" w:rsidRPr="006D2E73">
        <w:rPr>
          <w:rFonts w:ascii="Arial" w:hAnsi="Arial" w:cs="Arial"/>
          <w:b/>
          <w:bCs/>
          <w:sz w:val="20"/>
          <w:szCs w:val="20"/>
        </w:rPr>
        <w:t>005</w:t>
      </w:r>
      <w:r w:rsidR="006D2E73">
        <w:rPr>
          <w:rFonts w:ascii="Arial" w:hAnsi="Arial" w:cs="Arial"/>
          <w:b/>
          <w:bCs/>
          <w:sz w:val="20"/>
          <w:szCs w:val="20"/>
        </w:rPr>
        <w:t>5</w:t>
      </w:r>
      <w:r w:rsidR="006D2E73" w:rsidRPr="006D2E73">
        <w:rPr>
          <w:rFonts w:ascii="Arial" w:hAnsi="Arial" w:cs="Arial"/>
          <w:b/>
          <w:bCs/>
          <w:sz w:val="20"/>
          <w:szCs w:val="20"/>
        </w:rPr>
        <w:t>/2025</w:t>
      </w:r>
      <w:r w:rsidR="006D2E73">
        <w:rPr>
          <w:rFonts w:ascii="Arial" w:hAnsi="Arial" w:cs="Arial"/>
          <w:b/>
          <w:bCs/>
          <w:sz w:val="20"/>
          <w:szCs w:val="20"/>
        </w:rPr>
        <w:t xml:space="preserve"> y </w:t>
      </w:r>
      <w:r w:rsidR="006D2E73" w:rsidRPr="006D2E73">
        <w:rPr>
          <w:rFonts w:ascii="Arial" w:hAnsi="Arial" w:cs="Arial"/>
          <w:b/>
          <w:bCs/>
          <w:sz w:val="20"/>
          <w:szCs w:val="20"/>
        </w:rPr>
        <w:t>005</w:t>
      </w:r>
      <w:r w:rsidR="006D2E73">
        <w:rPr>
          <w:rFonts w:ascii="Arial" w:hAnsi="Arial" w:cs="Arial"/>
          <w:b/>
          <w:bCs/>
          <w:sz w:val="20"/>
          <w:szCs w:val="20"/>
        </w:rPr>
        <w:t>4</w:t>
      </w:r>
      <w:r w:rsidR="006D2E73" w:rsidRPr="006D2E73">
        <w:rPr>
          <w:rFonts w:ascii="Arial" w:hAnsi="Arial" w:cs="Arial"/>
          <w:b/>
          <w:bCs/>
          <w:sz w:val="20"/>
          <w:szCs w:val="20"/>
        </w:rPr>
        <w:t>/2025</w:t>
      </w:r>
      <w:r>
        <w:rPr>
          <w:rFonts w:ascii="Arial" w:hAnsi="Arial" w:cs="Arial"/>
          <w:b/>
          <w:bCs/>
          <w:sz w:val="20"/>
          <w:szCs w:val="20"/>
        </w:rPr>
        <w:t>.</w:t>
      </w:r>
      <w:r w:rsidRPr="004037F1">
        <w:rPr>
          <w:rFonts w:ascii="Arial" w:hAnsi="Arial" w:cs="Arial"/>
          <w:b/>
          <w:bCs/>
          <w:sz w:val="20"/>
          <w:szCs w:val="20"/>
        </w:rPr>
        <w:t xml:space="preserve"> </w:t>
      </w:r>
      <w:r>
        <w:rPr>
          <w:rFonts w:ascii="Arial" w:hAnsi="Arial" w:cs="Arial"/>
          <w:b/>
          <w:bCs/>
          <w:sz w:val="20"/>
          <w:szCs w:val="20"/>
        </w:rPr>
        <w:t xml:space="preserve">Consulta Vinculante. </w:t>
      </w:r>
      <w:r w:rsidRPr="004037F1">
        <w:rPr>
          <w:rFonts w:ascii="Arial" w:hAnsi="Arial" w:cs="Arial"/>
          <w:b/>
          <w:bCs/>
          <w:sz w:val="20"/>
          <w:szCs w:val="20"/>
        </w:rPr>
        <w:t>Agentes de Retención Impuesto sobre los Ingresos Brutos - Convenio Multilateral</w:t>
      </w:r>
      <w:r>
        <w:rPr>
          <w:rFonts w:ascii="Arial" w:hAnsi="Arial" w:cs="Arial"/>
          <w:b/>
          <w:bCs/>
          <w:sz w:val="20"/>
          <w:szCs w:val="20"/>
        </w:rPr>
        <w:t>. 14/5/2025.</w:t>
      </w:r>
    </w:p>
    <w:p w14:paraId="3E0AD02C" w14:textId="120B3ACE" w:rsidR="004037F1" w:rsidRDefault="004037F1" w:rsidP="004037F1">
      <w:pPr>
        <w:spacing w:line="360" w:lineRule="atLeast"/>
        <w:jc w:val="both"/>
        <w:rPr>
          <w:rFonts w:ascii="Arial" w:hAnsi="Arial" w:cs="Arial"/>
          <w:sz w:val="20"/>
          <w:szCs w:val="20"/>
        </w:rPr>
      </w:pPr>
      <w:r>
        <w:rPr>
          <w:rFonts w:ascii="Arial" w:hAnsi="Arial" w:cs="Arial"/>
          <w:sz w:val="20"/>
          <w:szCs w:val="20"/>
        </w:rPr>
        <w:t>E</w:t>
      </w:r>
      <w:r w:rsidRPr="004037F1">
        <w:rPr>
          <w:rFonts w:ascii="Arial" w:hAnsi="Arial" w:cs="Arial"/>
          <w:sz w:val="20"/>
          <w:szCs w:val="20"/>
        </w:rPr>
        <w:t xml:space="preserve">l agente </w:t>
      </w:r>
      <w:r>
        <w:rPr>
          <w:rFonts w:ascii="Arial" w:hAnsi="Arial" w:cs="Arial"/>
          <w:sz w:val="20"/>
          <w:szCs w:val="20"/>
        </w:rPr>
        <w:t xml:space="preserve">de </w:t>
      </w:r>
      <w:r w:rsidRPr="004037F1">
        <w:rPr>
          <w:rFonts w:ascii="Arial" w:hAnsi="Arial" w:cs="Arial"/>
          <w:sz w:val="20"/>
          <w:szCs w:val="20"/>
        </w:rPr>
        <w:t xml:space="preserve">retención por las operaciones </w:t>
      </w:r>
      <w:r>
        <w:rPr>
          <w:rFonts w:ascii="Arial" w:hAnsi="Arial" w:cs="Arial"/>
          <w:sz w:val="20"/>
          <w:szCs w:val="20"/>
        </w:rPr>
        <w:t>objeto d</w:t>
      </w:r>
      <w:r w:rsidRPr="004037F1">
        <w:rPr>
          <w:rFonts w:ascii="Arial" w:hAnsi="Arial" w:cs="Arial"/>
          <w:sz w:val="20"/>
          <w:szCs w:val="20"/>
        </w:rPr>
        <w:t>e la consulta tal como fuera planteada la misma, no deberá practicar la retención en</w:t>
      </w:r>
      <w:r>
        <w:rPr>
          <w:rFonts w:ascii="Arial" w:hAnsi="Arial" w:cs="Arial"/>
          <w:sz w:val="20"/>
          <w:szCs w:val="20"/>
        </w:rPr>
        <w:t xml:space="preserve"> </w:t>
      </w:r>
      <w:r w:rsidRPr="004037F1">
        <w:rPr>
          <w:rFonts w:ascii="Arial" w:hAnsi="Arial" w:cs="Arial"/>
          <w:sz w:val="20"/>
          <w:szCs w:val="20"/>
        </w:rPr>
        <w:t>concepto del Impuesto sobre los Ingresos Brutos cuando el destino final de los bienes, se</w:t>
      </w:r>
      <w:r>
        <w:rPr>
          <w:rFonts w:ascii="Arial" w:hAnsi="Arial" w:cs="Arial"/>
          <w:sz w:val="20"/>
          <w:szCs w:val="20"/>
        </w:rPr>
        <w:t xml:space="preserve"> </w:t>
      </w:r>
      <w:r w:rsidRPr="004037F1">
        <w:rPr>
          <w:rFonts w:ascii="Arial" w:hAnsi="Arial" w:cs="Arial"/>
          <w:sz w:val="20"/>
          <w:szCs w:val="20"/>
        </w:rPr>
        <w:t xml:space="preserve">efectúa fuera de la Provincia de Santa Fe. Sostener lo contrario, implicaría </w:t>
      </w:r>
      <w:proofErr w:type="gramStart"/>
      <w:r w:rsidRPr="004037F1">
        <w:rPr>
          <w:rFonts w:ascii="Arial" w:hAnsi="Arial" w:cs="Arial"/>
          <w:sz w:val="20"/>
          <w:szCs w:val="20"/>
        </w:rPr>
        <w:t>que</w:t>
      </w:r>
      <w:proofErr w:type="gramEnd"/>
      <w:r w:rsidRPr="004037F1">
        <w:rPr>
          <w:rFonts w:ascii="Arial" w:hAnsi="Arial" w:cs="Arial"/>
          <w:sz w:val="20"/>
          <w:szCs w:val="20"/>
        </w:rPr>
        <w:t xml:space="preserve"> a través</w:t>
      </w:r>
      <w:r>
        <w:rPr>
          <w:rFonts w:ascii="Arial" w:hAnsi="Arial" w:cs="Arial"/>
          <w:sz w:val="20"/>
          <w:szCs w:val="20"/>
        </w:rPr>
        <w:t xml:space="preserve"> </w:t>
      </w:r>
      <w:r w:rsidRPr="004037F1">
        <w:rPr>
          <w:rFonts w:ascii="Arial" w:hAnsi="Arial" w:cs="Arial"/>
          <w:sz w:val="20"/>
          <w:szCs w:val="20"/>
        </w:rPr>
        <w:t>de las retenciones del tributo, se estarían atribuyendo incorrectamente ingresos</w:t>
      </w:r>
      <w:r>
        <w:rPr>
          <w:rFonts w:ascii="Arial" w:hAnsi="Arial" w:cs="Arial"/>
          <w:sz w:val="20"/>
          <w:szCs w:val="20"/>
        </w:rPr>
        <w:t xml:space="preserve"> a</w:t>
      </w:r>
      <w:r w:rsidRPr="004037F1">
        <w:rPr>
          <w:rFonts w:ascii="Arial" w:hAnsi="Arial" w:cs="Arial"/>
          <w:sz w:val="20"/>
          <w:szCs w:val="20"/>
        </w:rPr>
        <w:t xml:space="preserve"> esta</w:t>
      </w:r>
      <w:r>
        <w:rPr>
          <w:rFonts w:ascii="Arial" w:hAnsi="Arial" w:cs="Arial"/>
          <w:sz w:val="20"/>
          <w:szCs w:val="20"/>
        </w:rPr>
        <w:t xml:space="preserve"> </w:t>
      </w:r>
      <w:r w:rsidRPr="004037F1">
        <w:rPr>
          <w:rFonts w:ascii="Arial" w:hAnsi="Arial" w:cs="Arial"/>
          <w:sz w:val="20"/>
          <w:szCs w:val="20"/>
        </w:rPr>
        <w:t>jurisdicción</w:t>
      </w:r>
      <w:r>
        <w:rPr>
          <w:rFonts w:ascii="Arial" w:hAnsi="Arial" w:cs="Arial"/>
          <w:sz w:val="20"/>
          <w:szCs w:val="20"/>
        </w:rPr>
        <w:t>.</w:t>
      </w:r>
    </w:p>
    <w:p w14:paraId="58A2BFEC" w14:textId="30205DB7" w:rsidR="004037F1" w:rsidRPr="004037F1" w:rsidRDefault="004037F1" w:rsidP="004037F1">
      <w:pPr>
        <w:spacing w:line="360" w:lineRule="atLeast"/>
        <w:jc w:val="both"/>
        <w:rPr>
          <w:rFonts w:ascii="Arial" w:hAnsi="Arial" w:cs="Arial"/>
          <w:sz w:val="20"/>
          <w:szCs w:val="20"/>
        </w:rPr>
      </w:pPr>
      <w:r>
        <w:rPr>
          <w:rFonts w:ascii="Arial" w:hAnsi="Arial" w:cs="Arial"/>
          <w:sz w:val="20"/>
          <w:szCs w:val="20"/>
        </w:rPr>
        <w:t>E</w:t>
      </w:r>
      <w:r w:rsidRPr="004037F1">
        <w:rPr>
          <w:rFonts w:ascii="Arial" w:hAnsi="Arial" w:cs="Arial"/>
          <w:sz w:val="20"/>
          <w:szCs w:val="20"/>
        </w:rPr>
        <w:t>n definitiva, en respuesta a este caso concreto, el consultante,</w:t>
      </w:r>
      <w:r>
        <w:rPr>
          <w:rFonts w:ascii="Arial" w:hAnsi="Arial" w:cs="Arial"/>
          <w:sz w:val="20"/>
          <w:szCs w:val="20"/>
        </w:rPr>
        <w:t xml:space="preserve"> </w:t>
      </w:r>
      <w:r w:rsidRPr="004037F1">
        <w:rPr>
          <w:rFonts w:ascii="Arial" w:hAnsi="Arial" w:cs="Arial"/>
          <w:sz w:val="20"/>
          <w:szCs w:val="20"/>
        </w:rPr>
        <w:t>en su carácter de agente de retención, deberá evaluar si los ingresos sobre los cuales</w:t>
      </w:r>
      <w:r>
        <w:rPr>
          <w:rFonts w:ascii="Arial" w:hAnsi="Arial" w:cs="Arial"/>
          <w:sz w:val="20"/>
          <w:szCs w:val="20"/>
        </w:rPr>
        <w:t xml:space="preserve"> </w:t>
      </w:r>
      <w:r w:rsidRPr="004037F1">
        <w:rPr>
          <w:rFonts w:ascii="Arial" w:hAnsi="Arial" w:cs="Arial"/>
          <w:sz w:val="20"/>
          <w:szCs w:val="20"/>
        </w:rPr>
        <w:t>corresponde practicar la retención son atribuibles o no a la provincia de Santa Fe, de</w:t>
      </w:r>
      <w:r>
        <w:rPr>
          <w:rFonts w:ascii="Arial" w:hAnsi="Arial" w:cs="Arial"/>
          <w:sz w:val="20"/>
          <w:szCs w:val="20"/>
        </w:rPr>
        <w:t xml:space="preserve"> </w:t>
      </w:r>
      <w:r w:rsidRPr="004037F1">
        <w:rPr>
          <w:rFonts w:ascii="Arial" w:hAnsi="Arial" w:cs="Arial"/>
          <w:sz w:val="20"/>
          <w:szCs w:val="20"/>
        </w:rPr>
        <w:t>acuerdo a las normas del Convenio Multilateral en vigencia</w:t>
      </w:r>
      <w:r>
        <w:rPr>
          <w:rFonts w:ascii="Arial" w:hAnsi="Arial" w:cs="Arial"/>
          <w:sz w:val="20"/>
          <w:szCs w:val="20"/>
        </w:rPr>
        <w:t>.</w:t>
      </w:r>
    </w:p>
    <w:p w14:paraId="359032BB" w14:textId="77777777" w:rsidR="004037F1" w:rsidRPr="004037F1" w:rsidRDefault="004037F1" w:rsidP="004037F1">
      <w:pPr>
        <w:pStyle w:val="Prrafodelista"/>
        <w:spacing w:line="360" w:lineRule="atLeast"/>
        <w:ind w:left="360"/>
        <w:jc w:val="both"/>
        <w:rPr>
          <w:rFonts w:ascii="Arial" w:hAnsi="Arial" w:cs="Arial"/>
          <w:sz w:val="20"/>
          <w:szCs w:val="20"/>
        </w:rPr>
      </w:pPr>
    </w:p>
    <w:p w14:paraId="32363490" w14:textId="77777777" w:rsidR="0045223A" w:rsidRPr="00FF5B52" w:rsidRDefault="00F51DCA" w:rsidP="0045223A">
      <w:pPr>
        <w:pStyle w:val="Prrafodelista"/>
        <w:numPr>
          <w:ilvl w:val="0"/>
          <w:numId w:val="5"/>
        </w:numPr>
        <w:spacing w:line="360" w:lineRule="atLeast"/>
        <w:jc w:val="both"/>
        <w:rPr>
          <w:rFonts w:ascii="Arial" w:hAnsi="Arial" w:cs="Arial"/>
          <w:b/>
          <w:bCs/>
          <w:sz w:val="20"/>
          <w:szCs w:val="20"/>
        </w:rPr>
      </w:pPr>
      <w:r w:rsidRPr="00FF5B52">
        <w:rPr>
          <w:rFonts w:ascii="Arial" w:hAnsi="Arial" w:cs="Arial"/>
          <w:b/>
          <w:bCs/>
          <w:sz w:val="20"/>
          <w:szCs w:val="20"/>
        </w:rPr>
        <w:t xml:space="preserve">COMISION ARBITRAL Y PLENARIA </w:t>
      </w:r>
    </w:p>
    <w:p w14:paraId="4745E6E9" w14:textId="77777777" w:rsidR="0098412B" w:rsidRPr="00FF5B52" w:rsidRDefault="0098412B" w:rsidP="0098412B">
      <w:pPr>
        <w:pStyle w:val="Prrafodelista"/>
        <w:spacing w:line="360" w:lineRule="atLeast"/>
        <w:jc w:val="both"/>
        <w:rPr>
          <w:rFonts w:ascii="Arial" w:hAnsi="Arial" w:cs="Arial"/>
          <w:b/>
          <w:bCs/>
          <w:sz w:val="20"/>
          <w:szCs w:val="20"/>
        </w:rPr>
      </w:pPr>
    </w:p>
    <w:p w14:paraId="6B2252F3" w14:textId="69C38764" w:rsidR="006E2D18" w:rsidRPr="006E2D18" w:rsidRDefault="006E2D18" w:rsidP="006E2D18">
      <w:pPr>
        <w:pStyle w:val="Prrafodelista"/>
        <w:numPr>
          <w:ilvl w:val="0"/>
          <w:numId w:val="4"/>
        </w:numPr>
        <w:spacing w:line="360" w:lineRule="atLeast"/>
        <w:jc w:val="both"/>
        <w:rPr>
          <w:rFonts w:ascii="Arial" w:hAnsi="Arial" w:cs="Arial"/>
          <w:b/>
          <w:bCs/>
          <w:sz w:val="20"/>
          <w:szCs w:val="20"/>
        </w:rPr>
      </w:pPr>
      <w:r w:rsidRPr="006E2D18">
        <w:rPr>
          <w:rFonts w:ascii="Arial" w:hAnsi="Arial" w:cs="Arial"/>
          <w:b/>
          <w:bCs/>
          <w:sz w:val="20"/>
          <w:szCs w:val="20"/>
        </w:rPr>
        <w:t>Resolución (CA) 1</w:t>
      </w:r>
      <w:r w:rsidR="007C73EA">
        <w:rPr>
          <w:rFonts w:ascii="Arial" w:hAnsi="Arial" w:cs="Arial"/>
          <w:b/>
          <w:bCs/>
          <w:sz w:val="20"/>
          <w:szCs w:val="20"/>
        </w:rPr>
        <w:t>7</w:t>
      </w:r>
      <w:r w:rsidRPr="006E2D18">
        <w:rPr>
          <w:rFonts w:ascii="Arial" w:hAnsi="Arial" w:cs="Arial"/>
          <w:b/>
          <w:bCs/>
          <w:sz w:val="20"/>
          <w:szCs w:val="20"/>
        </w:rPr>
        <w:t>. “</w:t>
      </w:r>
      <w:r w:rsidR="007C73EA" w:rsidRPr="007C73EA">
        <w:rPr>
          <w:rFonts w:ascii="Arial" w:hAnsi="Arial" w:cs="Arial"/>
          <w:b/>
          <w:bCs/>
          <w:sz w:val="20"/>
          <w:szCs w:val="20"/>
        </w:rPr>
        <w:t xml:space="preserve">British American </w:t>
      </w:r>
      <w:proofErr w:type="spellStart"/>
      <w:r w:rsidR="007C73EA" w:rsidRPr="007C73EA">
        <w:rPr>
          <w:rFonts w:ascii="Arial" w:hAnsi="Arial" w:cs="Arial"/>
          <w:b/>
          <w:bCs/>
          <w:sz w:val="20"/>
          <w:szCs w:val="20"/>
        </w:rPr>
        <w:t>Tobacco</w:t>
      </w:r>
      <w:proofErr w:type="spellEnd"/>
      <w:r w:rsidR="007C73EA" w:rsidRPr="007C73EA">
        <w:rPr>
          <w:rFonts w:ascii="Arial" w:hAnsi="Arial" w:cs="Arial"/>
          <w:b/>
          <w:bCs/>
          <w:sz w:val="20"/>
          <w:szCs w:val="20"/>
        </w:rPr>
        <w:t xml:space="preserve"> </w:t>
      </w:r>
      <w:proofErr w:type="spellStart"/>
      <w:r w:rsidR="007C73EA" w:rsidRPr="007C73EA">
        <w:rPr>
          <w:rFonts w:ascii="Arial" w:hAnsi="Arial" w:cs="Arial"/>
          <w:b/>
          <w:bCs/>
          <w:sz w:val="20"/>
          <w:szCs w:val="20"/>
        </w:rPr>
        <w:t>Saicyf</w:t>
      </w:r>
      <w:proofErr w:type="spellEnd"/>
      <w:r w:rsidR="007C73EA" w:rsidRPr="007C73EA">
        <w:rPr>
          <w:rFonts w:ascii="Arial" w:hAnsi="Arial" w:cs="Arial"/>
          <w:b/>
          <w:bCs/>
          <w:sz w:val="20"/>
          <w:szCs w:val="20"/>
        </w:rPr>
        <w:t xml:space="preserve"> c/ provincia de Buenos Aires - </w:t>
      </w:r>
      <w:proofErr w:type="spellStart"/>
      <w:r w:rsidR="007C73EA" w:rsidRPr="007C73EA">
        <w:rPr>
          <w:rFonts w:ascii="Arial" w:hAnsi="Arial" w:cs="Arial"/>
          <w:b/>
          <w:bCs/>
          <w:sz w:val="20"/>
          <w:szCs w:val="20"/>
        </w:rPr>
        <w:t>Expte</w:t>
      </w:r>
      <w:proofErr w:type="spellEnd"/>
      <w:r w:rsidR="007C73EA" w:rsidRPr="007C73EA">
        <w:rPr>
          <w:rFonts w:ascii="Arial" w:hAnsi="Arial" w:cs="Arial"/>
          <w:b/>
          <w:bCs/>
          <w:sz w:val="20"/>
          <w:szCs w:val="20"/>
        </w:rPr>
        <w:t>. CM N° 1796/2024</w:t>
      </w:r>
      <w:r w:rsidRPr="006E2D18">
        <w:rPr>
          <w:rFonts w:ascii="Arial" w:hAnsi="Arial" w:cs="Arial"/>
          <w:b/>
          <w:bCs/>
          <w:sz w:val="20"/>
          <w:szCs w:val="20"/>
        </w:rPr>
        <w:t>”. 1</w:t>
      </w:r>
      <w:r w:rsidR="007C73EA">
        <w:rPr>
          <w:rFonts w:ascii="Arial" w:hAnsi="Arial" w:cs="Arial"/>
          <w:b/>
          <w:bCs/>
          <w:sz w:val="20"/>
          <w:szCs w:val="20"/>
        </w:rPr>
        <w:t>3</w:t>
      </w:r>
      <w:r w:rsidRPr="006E2D18">
        <w:rPr>
          <w:rFonts w:ascii="Arial" w:hAnsi="Arial" w:cs="Arial"/>
          <w:b/>
          <w:bCs/>
          <w:sz w:val="20"/>
          <w:szCs w:val="20"/>
        </w:rPr>
        <w:t>/0</w:t>
      </w:r>
      <w:r w:rsidR="007C73EA">
        <w:rPr>
          <w:rFonts w:ascii="Arial" w:hAnsi="Arial" w:cs="Arial"/>
          <w:b/>
          <w:bCs/>
          <w:sz w:val="20"/>
          <w:szCs w:val="20"/>
        </w:rPr>
        <w:t>8</w:t>
      </w:r>
      <w:r w:rsidRPr="006E2D18">
        <w:rPr>
          <w:rFonts w:ascii="Arial" w:hAnsi="Arial" w:cs="Arial"/>
          <w:b/>
          <w:bCs/>
          <w:sz w:val="20"/>
          <w:szCs w:val="20"/>
        </w:rPr>
        <w:t>/2025.</w:t>
      </w:r>
    </w:p>
    <w:p w14:paraId="731CF4E7" w14:textId="4E84E764" w:rsidR="00FF5B52" w:rsidRDefault="00540AE6" w:rsidP="00461674">
      <w:pPr>
        <w:spacing w:line="360" w:lineRule="atLeast"/>
        <w:jc w:val="both"/>
        <w:rPr>
          <w:rFonts w:ascii="Arial" w:hAnsi="Arial" w:cs="Arial"/>
          <w:sz w:val="20"/>
          <w:szCs w:val="20"/>
        </w:rPr>
      </w:pPr>
      <w:r>
        <w:rPr>
          <w:rFonts w:ascii="Arial" w:hAnsi="Arial" w:cs="Arial"/>
          <w:sz w:val="20"/>
          <w:szCs w:val="20"/>
        </w:rPr>
        <w:t>A</w:t>
      </w:r>
      <w:r w:rsidRPr="00540AE6">
        <w:rPr>
          <w:rFonts w:ascii="Arial" w:hAnsi="Arial" w:cs="Arial"/>
          <w:sz w:val="20"/>
          <w:szCs w:val="20"/>
        </w:rPr>
        <w:t>signación de los intereses generados por plazos fijos bancarios, provenientes de cuentas bancarias pertenecientes a sucursales ubicadas en la provincia de Buenos Aires y en la Ciudad Autónoma de Buenos Aires.</w:t>
      </w:r>
    </w:p>
    <w:p w14:paraId="5AA5F186" w14:textId="4D2BECF6" w:rsidR="00FF5B52" w:rsidRDefault="005C0843" w:rsidP="00461674">
      <w:pPr>
        <w:spacing w:line="360" w:lineRule="atLeast"/>
        <w:jc w:val="both"/>
        <w:rPr>
          <w:rFonts w:ascii="Arial" w:hAnsi="Arial" w:cs="Arial"/>
          <w:sz w:val="20"/>
          <w:szCs w:val="20"/>
        </w:rPr>
      </w:pPr>
      <w:r>
        <w:rPr>
          <w:rFonts w:ascii="Arial" w:hAnsi="Arial" w:cs="Arial"/>
          <w:sz w:val="20"/>
          <w:szCs w:val="20"/>
        </w:rPr>
        <w:t>La</w:t>
      </w:r>
      <w:r w:rsidRPr="005C0843">
        <w:rPr>
          <w:rFonts w:ascii="Arial" w:hAnsi="Arial" w:cs="Arial"/>
          <w:sz w:val="20"/>
          <w:szCs w:val="20"/>
        </w:rPr>
        <w:t xml:space="preserve"> generación de dichos ingresos se encuentra determinada por la colocación financiera y, en el caso concreto, por el lugar en el cual el contribuyente pone a disposición de la entidad financiera los fondos. De acuerdo con ello, los ingresos provienen de la jurisdicción en la que se efectiviza la colocación financiera, y es allí donde, como consecuencia de dicha operación, se genera el ingreso.</w:t>
      </w:r>
    </w:p>
    <w:p w14:paraId="35C6CA0D" w14:textId="77777777" w:rsidR="00540AE6" w:rsidRDefault="00540AE6" w:rsidP="00461674">
      <w:pPr>
        <w:spacing w:line="360" w:lineRule="atLeast"/>
        <w:jc w:val="both"/>
        <w:rPr>
          <w:rFonts w:ascii="Arial" w:hAnsi="Arial" w:cs="Arial"/>
          <w:sz w:val="20"/>
          <w:szCs w:val="20"/>
        </w:rPr>
      </w:pPr>
    </w:p>
    <w:p w14:paraId="42AFA2D8" w14:textId="77777777" w:rsidR="005C0843" w:rsidRPr="00B203B8" w:rsidRDefault="005C0843" w:rsidP="005C0843">
      <w:pPr>
        <w:pStyle w:val="Prrafodelista"/>
        <w:spacing w:line="360" w:lineRule="atLeast"/>
        <w:ind w:left="360"/>
        <w:jc w:val="both"/>
        <w:rPr>
          <w:rFonts w:ascii="Arial" w:hAnsi="Arial" w:cs="Arial"/>
          <w:b/>
          <w:bCs/>
          <w:sz w:val="20"/>
          <w:szCs w:val="20"/>
        </w:rPr>
      </w:pPr>
    </w:p>
    <w:p w14:paraId="67AA9499" w14:textId="44181BD0" w:rsidR="0098412B" w:rsidRPr="00B203B8" w:rsidRDefault="0098412B" w:rsidP="0098412B">
      <w:pPr>
        <w:pStyle w:val="Prrafodelista"/>
        <w:numPr>
          <w:ilvl w:val="0"/>
          <w:numId w:val="4"/>
        </w:numPr>
        <w:spacing w:line="360" w:lineRule="atLeast"/>
        <w:jc w:val="both"/>
        <w:rPr>
          <w:rFonts w:ascii="Arial" w:hAnsi="Arial" w:cs="Arial"/>
          <w:b/>
          <w:bCs/>
          <w:sz w:val="20"/>
          <w:szCs w:val="20"/>
        </w:rPr>
      </w:pPr>
      <w:bookmarkStart w:id="4" w:name="_Hlk208351974"/>
      <w:r w:rsidRPr="00B203B8">
        <w:rPr>
          <w:rFonts w:ascii="Arial" w:hAnsi="Arial" w:cs="Arial"/>
          <w:b/>
          <w:bCs/>
          <w:sz w:val="20"/>
          <w:szCs w:val="20"/>
        </w:rPr>
        <w:lastRenderedPageBreak/>
        <w:t>Resolución (CP) 11</w:t>
      </w:r>
      <w:bookmarkEnd w:id="4"/>
      <w:r w:rsidRPr="00B203B8">
        <w:rPr>
          <w:rFonts w:ascii="Arial" w:hAnsi="Arial" w:cs="Arial"/>
          <w:b/>
          <w:bCs/>
          <w:sz w:val="20"/>
          <w:szCs w:val="20"/>
        </w:rPr>
        <w:t>. “</w:t>
      </w:r>
      <w:proofErr w:type="spellStart"/>
      <w:r w:rsidRPr="00B203B8">
        <w:rPr>
          <w:rFonts w:ascii="Arial" w:hAnsi="Arial" w:cs="Arial"/>
          <w:b/>
          <w:bCs/>
          <w:sz w:val="20"/>
          <w:szCs w:val="20"/>
        </w:rPr>
        <w:t>Vinisa</w:t>
      </w:r>
      <w:proofErr w:type="spellEnd"/>
      <w:r w:rsidRPr="00B203B8">
        <w:rPr>
          <w:rFonts w:ascii="Arial" w:hAnsi="Arial" w:cs="Arial"/>
          <w:b/>
          <w:bCs/>
          <w:sz w:val="20"/>
          <w:szCs w:val="20"/>
        </w:rPr>
        <w:t xml:space="preserve"> Fueguina SRL c/ provincia de Buenos Aires - </w:t>
      </w:r>
      <w:proofErr w:type="spellStart"/>
      <w:r w:rsidRPr="00B203B8">
        <w:rPr>
          <w:rFonts w:ascii="Arial" w:hAnsi="Arial" w:cs="Arial"/>
          <w:b/>
          <w:bCs/>
          <w:sz w:val="20"/>
          <w:szCs w:val="20"/>
        </w:rPr>
        <w:t>Expte</w:t>
      </w:r>
      <w:proofErr w:type="spellEnd"/>
      <w:r w:rsidRPr="00B203B8">
        <w:rPr>
          <w:rFonts w:ascii="Arial" w:hAnsi="Arial" w:cs="Arial"/>
          <w:b/>
          <w:bCs/>
          <w:sz w:val="20"/>
          <w:szCs w:val="20"/>
        </w:rPr>
        <w:t xml:space="preserve">. CM </w:t>
      </w:r>
      <w:proofErr w:type="spellStart"/>
      <w:r w:rsidRPr="00B203B8">
        <w:rPr>
          <w:rFonts w:ascii="Arial" w:hAnsi="Arial" w:cs="Arial"/>
          <w:b/>
          <w:bCs/>
          <w:sz w:val="20"/>
          <w:szCs w:val="20"/>
        </w:rPr>
        <w:t>Nº</w:t>
      </w:r>
      <w:proofErr w:type="spellEnd"/>
      <w:r w:rsidRPr="00B203B8">
        <w:rPr>
          <w:rFonts w:ascii="Arial" w:hAnsi="Arial" w:cs="Arial"/>
          <w:b/>
          <w:bCs/>
          <w:sz w:val="20"/>
          <w:szCs w:val="20"/>
        </w:rPr>
        <w:t xml:space="preserve"> 1760/2023”. 12/6/2025.</w:t>
      </w:r>
    </w:p>
    <w:p w14:paraId="243E90EA" w14:textId="27ECD579" w:rsidR="00B203B8" w:rsidRDefault="00726B17" w:rsidP="0098412B">
      <w:pPr>
        <w:spacing w:line="360" w:lineRule="atLeast"/>
        <w:jc w:val="both"/>
        <w:rPr>
          <w:rFonts w:ascii="Arial" w:hAnsi="Arial" w:cs="Arial"/>
          <w:sz w:val="20"/>
          <w:szCs w:val="20"/>
        </w:rPr>
      </w:pPr>
      <w:r>
        <w:rPr>
          <w:rFonts w:ascii="Arial" w:hAnsi="Arial" w:cs="Arial"/>
          <w:sz w:val="20"/>
          <w:szCs w:val="20"/>
        </w:rPr>
        <w:t>L</w:t>
      </w:r>
      <w:r w:rsidRPr="00726B17">
        <w:rPr>
          <w:rFonts w:ascii="Arial" w:hAnsi="Arial" w:cs="Arial"/>
          <w:sz w:val="20"/>
          <w:szCs w:val="20"/>
        </w:rPr>
        <w:t>as regalías corresponden a licencias de uso sobre derechos de propiedad intelectual relativos al diseño, distribución, promoción y venta de productos y aplicaciones PET; y, en consecuencia, esta Comisión no encuentra motivo para apartarse de las conclusiones alcanzadas en los casos citados, que han reconocido la computabilidad de las regalías.</w:t>
      </w:r>
    </w:p>
    <w:p w14:paraId="703225AB" w14:textId="77777777" w:rsidR="00B203B8" w:rsidRPr="0098412B" w:rsidRDefault="00B203B8" w:rsidP="0098412B">
      <w:pPr>
        <w:spacing w:line="360" w:lineRule="atLeast"/>
        <w:jc w:val="both"/>
        <w:rPr>
          <w:rFonts w:ascii="Arial" w:hAnsi="Arial" w:cs="Arial"/>
          <w:sz w:val="20"/>
          <w:szCs w:val="20"/>
        </w:rPr>
      </w:pPr>
    </w:p>
    <w:p w14:paraId="6BDC57C4" w14:textId="0A8DF2B6" w:rsidR="0098412B" w:rsidRPr="00726B17" w:rsidRDefault="0098412B" w:rsidP="0098412B">
      <w:pPr>
        <w:pStyle w:val="Prrafodelista"/>
        <w:numPr>
          <w:ilvl w:val="0"/>
          <w:numId w:val="4"/>
        </w:numPr>
        <w:spacing w:line="360" w:lineRule="atLeast"/>
        <w:jc w:val="both"/>
        <w:rPr>
          <w:rFonts w:ascii="Arial" w:hAnsi="Arial" w:cs="Arial"/>
          <w:b/>
          <w:bCs/>
          <w:sz w:val="20"/>
          <w:szCs w:val="20"/>
        </w:rPr>
      </w:pPr>
      <w:r w:rsidRPr="00726B17">
        <w:rPr>
          <w:rFonts w:ascii="Arial" w:hAnsi="Arial" w:cs="Arial"/>
          <w:b/>
          <w:bCs/>
          <w:sz w:val="20"/>
          <w:szCs w:val="20"/>
        </w:rPr>
        <w:t xml:space="preserve">Resolución (CP) 12. “Coto Centro Integral de Comercialización SA c/ provincia de Córdoba - </w:t>
      </w:r>
      <w:proofErr w:type="spellStart"/>
      <w:r w:rsidRPr="00726B17">
        <w:rPr>
          <w:rFonts w:ascii="Arial" w:hAnsi="Arial" w:cs="Arial"/>
          <w:b/>
          <w:bCs/>
          <w:sz w:val="20"/>
          <w:szCs w:val="20"/>
        </w:rPr>
        <w:t>Expte</w:t>
      </w:r>
      <w:proofErr w:type="spellEnd"/>
      <w:r w:rsidRPr="00726B17">
        <w:rPr>
          <w:rFonts w:ascii="Arial" w:hAnsi="Arial" w:cs="Arial"/>
          <w:b/>
          <w:bCs/>
          <w:sz w:val="20"/>
          <w:szCs w:val="20"/>
        </w:rPr>
        <w:t xml:space="preserve">. CM </w:t>
      </w:r>
      <w:proofErr w:type="spellStart"/>
      <w:r w:rsidRPr="00726B17">
        <w:rPr>
          <w:rFonts w:ascii="Arial" w:hAnsi="Arial" w:cs="Arial"/>
          <w:b/>
          <w:bCs/>
          <w:sz w:val="20"/>
          <w:szCs w:val="20"/>
        </w:rPr>
        <w:t>Nº</w:t>
      </w:r>
      <w:proofErr w:type="spellEnd"/>
      <w:r w:rsidRPr="00726B17">
        <w:rPr>
          <w:rFonts w:ascii="Arial" w:hAnsi="Arial" w:cs="Arial"/>
          <w:b/>
          <w:bCs/>
          <w:sz w:val="20"/>
          <w:szCs w:val="20"/>
        </w:rPr>
        <w:t xml:space="preserve"> 1760/2023”. 12/6/2025.</w:t>
      </w:r>
    </w:p>
    <w:p w14:paraId="094325AA" w14:textId="6920CD8C" w:rsidR="00726B17" w:rsidRDefault="00371F63" w:rsidP="00352602">
      <w:pPr>
        <w:spacing w:line="360" w:lineRule="atLeast"/>
        <w:jc w:val="both"/>
        <w:rPr>
          <w:rFonts w:ascii="Arial" w:hAnsi="Arial" w:cs="Arial"/>
          <w:sz w:val="20"/>
          <w:szCs w:val="20"/>
        </w:rPr>
      </w:pPr>
      <w:r>
        <w:rPr>
          <w:rFonts w:ascii="Arial" w:hAnsi="Arial" w:cs="Arial"/>
          <w:sz w:val="20"/>
          <w:szCs w:val="20"/>
        </w:rPr>
        <w:t xml:space="preserve">Se alega la </w:t>
      </w:r>
      <w:r w:rsidR="0048199C" w:rsidRPr="0048199C">
        <w:rPr>
          <w:rFonts w:ascii="Arial" w:hAnsi="Arial" w:cs="Arial"/>
          <w:sz w:val="20"/>
          <w:szCs w:val="20"/>
        </w:rPr>
        <w:t>inexistencia de operaciones realizadas por COTO en la provincia de Córdoba</w:t>
      </w:r>
    </w:p>
    <w:p w14:paraId="5B7DA9D0" w14:textId="6C7577B0" w:rsidR="0048199C" w:rsidRDefault="00371F63" w:rsidP="00352602">
      <w:pPr>
        <w:spacing w:line="360" w:lineRule="atLeast"/>
        <w:jc w:val="both"/>
        <w:rPr>
          <w:rFonts w:ascii="Arial" w:hAnsi="Arial" w:cs="Arial"/>
          <w:sz w:val="20"/>
          <w:szCs w:val="20"/>
        </w:rPr>
      </w:pPr>
      <w:r>
        <w:rPr>
          <w:rFonts w:ascii="Arial" w:hAnsi="Arial" w:cs="Arial"/>
          <w:sz w:val="20"/>
          <w:szCs w:val="20"/>
        </w:rPr>
        <w:t>L</w:t>
      </w:r>
      <w:r w:rsidRPr="00371F63">
        <w:rPr>
          <w:rFonts w:ascii="Arial" w:hAnsi="Arial" w:cs="Arial"/>
          <w:sz w:val="20"/>
          <w:szCs w:val="20"/>
        </w:rPr>
        <w:t xml:space="preserve">os apelantes se hacen cargo sólo en forma parcial de los argumentos de la resolución apelada, pero omiten toda referencia a otros aspectos que conforman la parte sustancial de la resolución, como son las comisiones cobradas por </w:t>
      </w:r>
      <w:proofErr w:type="spellStart"/>
      <w:r w:rsidRPr="00371F63">
        <w:rPr>
          <w:rFonts w:ascii="Arial" w:hAnsi="Arial" w:cs="Arial"/>
          <w:sz w:val="20"/>
          <w:szCs w:val="20"/>
        </w:rPr>
        <w:t>Ferialvarez</w:t>
      </w:r>
      <w:proofErr w:type="spellEnd"/>
      <w:r w:rsidRPr="00371F63">
        <w:rPr>
          <w:rFonts w:ascii="Arial" w:hAnsi="Arial" w:cs="Arial"/>
          <w:sz w:val="20"/>
          <w:szCs w:val="20"/>
        </w:rPr>
        <w:t xml:space="preserve"> SRL y Pedro Genta &amp; </w:t>
      </w:r>
      <w:proofErr w:type="spellStart"/>
      <w:r w:rsidRPr="00371F63">
        <w:rPr>
          <w:rFonts w:ascii="Arial" w:hAnsi="Arial" w:cs="Arial"/>
          <w:sz w:val="20"/>
          <w:szCs w:val="20"/>
        </w:rPr>
        <w:t>Cía</w:t>
      </w:r>
      <w:proofErr w:type="spellEnd"/>
      <w:r w:rsidRPr="00371F63">
        <w:rPr>
          <w:rFonts w:ascii="Arial" w:hAnsi="Arial" w:cs="Arial"/>
          <w:sz w:val="20"/>
          <w:szCs w:val="20"/>
        </w:rPr>
        <w:t xml:space="preserve"> SA</w:t>
      </w:r>
      <w:r>
        <w:rPr>
          <w:rFonts w:ascii="Arial" w:hAnsi="Arial" w:cs="Arial"/>
          <w:sz w:val="20"/>
          <w:szCs w:val="20"/>
        </w:rPr>
        <w:t>.</w:t>
      </w:r>
    </w:p>
    <w:p w14:paraId="79A751FA" w14:textId="786607C4" w:rsidR="00371F63" w:rsidRDefault="00371F63" w:rsidP="00352602">
      <w:pPr>
        <w:spacing w:line="360" w:lineRule="atLeast"/>
        <w:jc w:val="both"/>
        <w:rPr>
          <w:rFonts w:ascii="Arial" w:hAnsi="Arial" w:cs="Arial"/>
          <w:sz w:val="20"/>
          <w:szCs w:val="20"/>
        </w:rPr>
      </w:pPr>
      <w:r>
        <w:rPr>
          <w:rFonts w:ascii="Arial" w:hAnsi="Arial" w:cs="Arial"/>
          <w:sz w:val="20"/>
          <w:szCs w:val="20"/>
        </w:rPr>
        <w:t>Se confirma la resolución de la Comisión Arbitral.</w:t>
      </w:r>
    </w:p>
    <w:p w14:paraId="53A97610" w14:textId="77777777" w:rsidR="0048199C" w:rsidRPr="00D416D0" w:rsidRDefault="0048199C" w:rsidP="00352602">
      <w:pPr>
        <w:spacing w:line="360" w:lineRule="atLeast"/>
        <w:jc w:val="both"/>
        <w:rPr>
          <w:rFonts w:ascii="Arial" w:hAnsi="Arial" w:cs="Arial"/>
          <w:sz w:val="20"/>
          <w:szCs w:val="20"/>
        </w:rPr>
      </w:pPr>
    </w:p>
    <w:p w14:paraId="3FA700F6" w14:textId="5BBB0EDE" w:rsidR="00F51DCA" w:rsidRPr="00D416D0" w:rsidRDefault="0039567C" w:rsidP="0045223A">
      <w:pPr>
        <w:pStyle w:val="Prrafodelista"/>
        <w:numPr>
          <w:ilvl w:val="0"/>
          <w:numId w:val="5"/>
        </w:numPr>
        <w:spacing w:line="360" w:lineRule="atLeast"/>
        <w:jc w:val="both"/>
        <w:rPr>
          <w:rFonts w:ascii="Arial" w:hAnsi="Arial" w:cs="Arial"/>
          <w:b/>
          <w:bCs/>
          <w:sz w:val="20"/>
          <w:szCs w:val="20"/>
        </w:rPr>
      </w:pPr>
      <w:r w:rsidRPr="00D416D0">
        <w:rPr>
          <w:rFonts w:ascii="Arial" w:hAnsi="Arial" w:cs="Arial"/>
          <w:b/>
          <w:bCs/>
          <w:sz w:val="20"/>
          <w:szCs w:val="20"/>
        </w:rPr>
        <w:t xml:space="preserve">RESOLUCION </w:t>
      </w:r>
      <w:r w:rsidR="00F51DCA" w:rsidRPr="00D416D0">
        <w:rPr>
          <w:rFonts w:ascii="Arial" w:hAnsi="Arial" w:cs="Arial"/>
          <w:b/>
          <w:bCs/>
          <w:sz w:val="20"/>
          <w:szCs w:val="20"/>
        </w:rPr>
        <w:t xml:space="preserve">NOVEDADES NORMATIVAS </w:t>
      </w:r>
      <w:r w:rsidR="00C85195" w:rsidRPr="00D416D0">
        <w:rPr>
          <w:rFonts w:ascii="Arial" w:hAnsi="Arial" w:cs="Arial"/>
          <w:b/>
          <w:bCs/>
          <w:sz w:val="20"/>
          <w:szCs w:val="20"/>
        </w:rPr>
        <w:t xml:space="preserve">a cargo de José </w:t>
      </w:r>
      <w:proofErr w:type="spellStart"/>
      <w:r w:rsidR="00C85195" w:rsidRPr="00D416D0">
        <w:rPr>
          <w:rFonts w:ascii="Arial" w:hAnsi="Arial" w:cs="Arial"/>
          <w:b/>
          <w:bCs/>
          <w:sz w:val="20"/>
          <w:szCs w:val="20"/>
        </w:rPr>
        <w:t>Alaniz</w:t>
      </w:r>
      <w:proofErr w:type="spellEnd"/>
    </w:p>
    <w:p w14:paraId="7C1871BB" w14:textId="77777777" w:rsidR="00F51DCA" w:rsidRPr="00D416D0" w:rsidRDefault="00F51DCA" w:rsidP="00F51DCA">
      <w:pPr>
        <w:pStyle w:val="Prrafodelista"/>
        <w:spacing w:line="360" w:lineRule="atLeast"/>
        <w:jc w:val="both"/>
        <w:rPr>
          <w:rFonts w:ascii="Arial" w:hAnsi="Arial" w:cs="Arial"/>
          <w:b/>
          <w:bCs/>
          <w:sz w:val="20"/>
          <w:szCs w:val="20"/>
        </w:rPr>
      </w:pPr>
    </w:p>
    <w:p w14:paraId="54F01A0B" w14:textId="32E84772" w:rsidR="0010353D" w:rsidRPr="0010353D" w:rsidRDefault="0010353D" w:rsidP="00C40C62">
      <w:pPr>
        <w:pStyle w:val="Prrafodelista"/>
        <w:numPr>
          <w:ilvl w:val="0"/>
          <w:numId w:val="4"/>
        </w:numPr>
        <w:spacing w:line="360" w:lineRule="atLeast"/>
        <w:jc w:val="both"/>
        <w:rPr>
          <w:rFonts w:ascii="Arial" w:hAnsi="Arial" w:cs="Arial"/>
          <w:sz w:val="20"/>
          <w:szCs w:val="20"/>
        </w:rPr>
      </w:pPr>
      <w:r>
        <w:rPr>
          <w:rFonts w:ascii="Arial" w:hAnsi="Arial" w:cs="Arial"/>
          <w:b/>
          <w:bCs/>
          <w:sz w:val="20"/>
          <w:szCs w:val="20"/>
        </w:rPr>
        <w:t>SANTA CRUZ</w:t>
      </w:r>
      <w:r w:rsidR="00D416D0" w:rsidRPr="0010353D">
        <w:rPr>
          <w:rFonts w:ascii="Arial" w:hAnsi="Arial" w:cs="Arial"/>
          <w:b/>
          <w:bCs/>
          <w:sz w:val="20"/>
          <w:szCs w:val="20"/>
        </w:rPr>
        <w:t xml:space="preserve">. </w:t>
      </w:r>
      <w:r w:rsidRPr="0010353D">
        <w:rPr>
          <w:rFonts w:ascii="Arial" w:hAnsi="Arial" w:cs="Arial"/>
          <w:b/>
          <w:bCs/>
          <w:sz w:val="20"/>
          <w:szCs w:val="20"/>
        </w:rPr>
        <w:t>LEY (Santa Cruz) 3934</w:t>
      </w:r>
      <w:r w:rsidR="00D416D0" w:rsidRPr="0010353D">
        <w:rPr>
          <w:rFonts w:ascii="Arial" w:hAnsi="Arial" w:cs="Arial"/>
          <w:b/>
          <w:bCs/>
          <w:sz w:val="20"/>
          <w:szCs w:val="20"/>
        </w:rPr>
        <w:t xml:space="preserve">. </w:t>
      </w:r>
      <w:r w:rsidRPr="0010353D">
        <w:rPr>
          <w:rFonts w:ascii="Arial" w:hAnsi="Arial" w:cs="Arial"/>
          <w:b/>
          <w:bCs/>
          <w:sz w:val="20"/>
          <w:szCs w:val="20"/>
        </w:rPr>
        <w:t>Santa Cruz: Modificaciones al Código Fiscal</w:t>
      </w:r>
    </w:p>
    <w:p w14:paraId="3A4BD1C6" w14:textId="77777777" w:rsidR="0010353D" w:rsidRDefault="0010353D" w:rsidP="0010353D">
      <w:pPr>
        <w:spacing w:line="360" w:lineRule="atLeast"/>
        <w:jc w:val="both"/>
        <w:rPr>
          <w:rFonts w:ascii="Arial" w:hAnsi="Arial" w:cs="Arial"/>
          <w:sz w:val="20"/>
          <w:szCs w:val="20"/>
        </w:rPr>
      </w:pPr>
      <w:r w:rsidRPr="0010353D">
        <w:rPr>
          <w:rFonts w:ascii="Arial" w:hAnsi="Arial" w:cs="Arial"/>
          <w:sz w:val="20"/>
          <w:szCs w:val="20"/>
        </w:rPr>
        <w:t>Se establecen modificaciones al Código Fiscal, incorporando como actividades no gravadas en el impuesto sobre los ingresos brutos, los ingresos obtenidos por sujetos radicados en las Zonas Francas Santacruceñas, los generados por la introducción de bienes desde el Territorio Aduanero General o Especial con destino a la misma zona, como también los derivados de las locaciones, y prestaciones de servicios que se realicen efectivamente en el mismo ámbito.</w:t>
      </w:r>
    </w:p>
    <w:p w14:paraId="66472784" w14:textId="77777777" w:rsidR="00D416D0" w:rsidRPr="00D416D0" w:rsidRDefault="00D416D0" w:rsidP="00D416D0">
      <w:pPr>
        <w:spacing w:line="360" w:lineRule="atLeast"/>
        <w:jc w:val="both"/>
        <w:rPr>
          <w:rFonts w:ascii="Arial" w:hAnsi="Arial" w:cs="Arial"/>
          <w:b/>
          <w:bCs/>
          <w:sz w:val="20"/>
          <w:szCs w:val="20"/>
        </w:rPr>
      </w:pPr>
    </w:p>
    <w:p w14:paraId="0CABFF76" w14:textId="385FFA62" w:rsidR="00D416D0" w:rsidRPr="00D416D0" w:rsidRDefault="0010353D" w:rsidP="00D416D0">
      <w:pPr>
        <w:pStyle w:val="Prrafodelista"/>
        <w:numPr>
          <w:ilvl w:val="0"/>
          <w:numId w:val="4"/>
        </w:numPr>
        <w:spacing w:line="360" w:lineRule="atLeast"/>
        <w:jc w:val="both"/>
        <w:rPr>
          <w:rFonts w:ascii="Arial" w:hAnsi="Arial" w:cs="Arial"/>
          <w:b/>
          <w:bCs/>
          <w:sz w:val="20"/>
          <w:szCs w:val="20"/>
        </w:rPr>
      </w:pPr>
      <w:r>
        <w:rPr>
          <w:rFonts w:ascii="Arial" w:hAnsi="Arial" w:cs="Arial"/>
          <w:b/>
          <w:bCs/>
          <w:sz w:val="20"/>
          <w:szCs w:val="20"/>
        </w:rPr>
        <w:t>CABA</w:t>
      </w:r>
      <w:r w:rsidR="00D416D0" w:rsidRPr="00D416D0">
        <w:rPr>
          <w:rFonts w:ascii="Arial" w:hAnsi="Arial" w:cs="Arial"/>
          <w:b/>
          <w:bCs/>
          <w:sz w:val="20"/>
          <w:szCs w:val="20"/>
        </w:rPr>
        <w:t xml:space="preserve">. </w:t>
      </w:r>
      <w:r w:rsidRPr="0010353D">
        <w:rPr>
          <w:rFonts w:ascii="Arial" w:hAnsi="Arial" w:cs="Arial"/>
          <w:b/>
          <w:bCs/>
          <w:sz w:val="20"/>
          <w:szCs w:val="20"/>
        </w:rPr>
        <w:t>RESOLUCIÓN (</w:t>
      </w:r>
      <w:proofErr w:type="spellStart"/>
      <w:r w:rsidRPr="0010353D">
        <w:rPr>
          <w:rFonts w:ascii="Arial" w:hAnsi="Arial" w:cs="Arial"/>
          <w:b/>
          <w:bCs/>
          <w:sz w:val="20"/>
          <w:szCs w:val="20"/>
        </w:rPr>
        <w:t>SsI</w:t>
      </w:r>
      <w:proofErr w:type="spellEnd"/>
      <w:r w:rsidRPr="0010353D">
        <w:rPr>
          <w:rFonts w:ascii="Arial" w:hAnsi="Arial" w:cs="Arial"/>
          <w:b/>
          <w:bCs/>
          <w:sz w:val="20"/>
          <w:szCs w:val="20"/>
        </w:rPr>
        <w:t xml:space="preserve"> Bs. As. </w:t>
      </w:r>
      <w:proofErr w:type="spellStart"/>
      <w:r w:rsidRPr="0010353D">
        <w:rPr>
          <w:rFonts w:ascii="Arial" w:hAnsi="Arial" w:cs="Arial"/>
          <w:b/>
          <w:bCs/>
          <w:sz w:val="20"/>
          <w:szCs w:val="20"/>
        </w:rPr>
        <w:t>cdad.</w:t>
      </w:r>
      <w:proofErr w:type="spellEnd"/>
      <w:r w:rsidRPr="0010353D">
        <w:rPr>
          <w:rFonts w:ascii="Arial" w:hAnsi="Arial" w:cs="Arial"/>
          <w:b/>
          <w:bCs/>
          <w:sz w:val="20"/>
          <w:szCs w:val="20"/>
        </w:rPr>
        <w:t>) 41/2025</w:t>
      </w:r>
      <w:r w:rsidR="00D416D0" w:rsidRPr="00D416D0">
        <w:rPr>
          <w:rFonts w:ascii="Arial" w:hAnsi="Arial" w:cs="Arial"/>
          <w:b/>
          <w:bCs/>
          <w:sz w:val="20"/>
          <w:szCs w:val="20"/>
        </w:rPr>
        <w:t xml:space="preserve">. </w:t>
      </w:r>
      <w:r w:rsidRPr="0010353D">
        <w:rPr>
          <w:rFonts w:ascii="Arial" w:hAnsi="Arial" w:cs="Arial"/>
          <w:b/>
          <w:bCs/>
          <w:sz w:val="20"/>
          <w:szCs w:val="20"/>
        </w:rPr>
        <w:t>Ciudad de Buenos Aires reemplaza los requisitos de inscripción y renovación al registro de la economía del conocimiento</w:t>
      </w:r>
      <w:r w:rsidR="00D416D0" w:rsidRPr="00D416D0">
        <w:rPr>
          <w:rFonts w:ascii="Arial" w:hAnsi="Arial" w:cs="Arial"/>
          <w:b/>
          <w:bCs/>
          <w:sz w:val="20"/>
          <w:szCs w:val="20"/>
        </w:rPr>
        <w:t>.</w:t>
      </w:r>
    </w:p>
    <w:p w14:paraId="408842E6" w14:textId="32DC781B" w:rsidR="00D416D0" w:rsidRDefault="0010353D" w:rsidP="00D416D0">
      <w:pPr>
        <w:spacing w:line="360" w:lineRule="atLeast"/>
        <w:jc w:val="both"/>
        <w:rPr>
          <w:rFonts w:ascii="Arial" w:hAnsi="Arial" w:cs="Arial"/>
          <w:sz w:val="20"/>
          <w:szCs w:val="20"/>
        </w:rPr>
      </w:pPr>
      <w:r w:rsidRPr="0010353D">
        <w:rPr>
          <w:rFonts w:ascii="Arial" w:hAnsi="Arial" w:cs="Arial"/>
          <w:sz w:val="20"/>
          <w:szCs w:val="20"/>
        </w:rPr>
        <w:t>Se reemplaza el procedimiento y los requisitos de inscripción y renovación al registro de la economía del conocimiento para que los solicitantes puedan acceder a los beneficios establecidos en el Régimen de Promoción de la Economía del Conocimiento.</w:t>
      </w:r>
    </w:p>
    <w:p w14:paraId="2C14B5BF" w14:textId="77777777" w:rsidR="0010353D" w:rsidRPr="00215341" w:rsidRDefault="0010353D" w:rsidP="00D416D0">
      <w:pPr>
        <w:spacing w:line="360" w:lineRule="atLeast"/>
        <w:jc w:val="both"/>
        <w:rPr>
          <w:rFonts w:ascii="Arial" w:hAnsi="Arial" w:cs="Arial"/>
          <w:b/>
          <w:bCs/>
          <w:sz w:val="20"/>
          <w:szCs w:val="20"/>
        </w:rPr>
      </w:pPr>
    </w:p>
    <w:p w14:paraId="5C74D650" w14:textId="356E357F" w:rsidR="00215341" w:rsidRPr="00215341" w:rsidRDefault="0054346F" w:rsidP="00215341">
      <w:pPr>
        <w:pStyle w:val="Prrafodelista"/>
        <w:numPr>
          <w:ilvl w:val="0"/>
          <w:numId w:val="4"/>
        </w:numPr>
        <w:spacing w:line="360" w:lineRule="atLeast"/>
        <w:jc w:val="both"/>
        <w:rPr>
          <w:rFonts w:ascii="Arial" w:hAnsi="Arial" w:cs="Arial"/>
          <w:b/>
          <w:bCs/>
          <w:sz w:val="20"/>
          <w:szCs w:val="20"/>
        </w:rPr>
      </w:pPr>
      <w:r>
        <w:rPr>
          <w:rFonts w:ascii="Arial" w:hAnsi="Arial" w:cs="Arial"/>
          <w:b/>
          <w:bCs/>
          <w:sz w:val="20"/>
          <w:szCs w:val="20"/>
        </w:rPr>
        <w:t>BUENOS AIRES</w:t>
      </w:r>
      <w:r w:rsidR="00215341" w:rsidRPr="00215341">
        <w:rPr>
          <w:rFonts w:ascii="Arial" w:hAnsi="Arial" w:cs="Arial"/>
          <w:b/>
          <w:bCs/>
          <w:sz w:val="20"/>
          <w:szCs w:val="20"/>
        </w:rPr>
        <w:t xml:space="preserve">: </w:t>
      </w:r>
      <w:r w:rsidRPr="0054346F">
        <w:rPr>
          <w:rFonts w:ascii="Arial" w:hAnsi="Arial" w:cs="Arial"/>
          <w:b/>
          <w:bCs/>
          <w:sz w:val="20"/>
          <w:szCs w:val="20"/>
        </w:rPr>
        <w:t>RESOLUCIÓN NORMATIVA (ARBA Bs. As.) 19/2025</w:t>
      </w:r>
      <w:r w:rsidR="00215341" w:rsidRPr="00215341">
        <w:rPr>
          <w:rFonts w:ascii="Arial" w:hAnsi="Arial" w:cs="Arial"/>
          <w:b/>
          <w:bCs/>
          <w:sz w:val="20"/>
          <w:szCs w:val="20"/>
        </w:rPr>
        <w:t xml:space="preserve">. </w:t>
      </w:r>
      <w:r w:rsidRPr="0054346F">
        <w:rPr>
          <w:rFonts w:ascii="Arial" w:hAnsi="Arial" w:cs="Arial"/>
          <w:b/>
          <w:bCs/>
          <w:sz w:val="20"/>
          <w:szCs w:val="20"/>
        </w:rPr>
        <w:t>Buenos Aires: ARBA dispone la suspensión transitoria de medidas cautelares hasta el 31 de diciembre</w:t>
      </w:r>
      <w:r w:rsidR="00215341">
        <w:rPr>
          <w:rFonts w:ascii="Arial" w:hAnsi="Arial" w:cs="Arial"/>
          <w:b/>
          <w:bCs/>
          <w:sz w:val="20"/>
          <w:szCs w:val="20"/>
        </w:rPr>
        <w:t>.</w:t>
      </w:r>
    </w:p>
    <w:p w14:paraId="5154E538" w14:textId="200CE7F8" w:rsidR="00D416D0" w:rsidRDefault="0054346F" w:rsidP="00215341">
      <w:pPr>
        <w:spacing w:line="360" w:lineRule="atLeast"/>
        <w:jc w:val="both"/>
        <w:rPr>
          <w:rFonts w:ascii="Arial" w:hAnsi="Arial" w:cs="Arial"/>
          <w:sz w:val="20"/>
          <w:szCs w:val="20"/>
        </w:rPr>
      </w:pPr>
      <w:r w:rsidRPr="0054346F">
        <w:rPr>
          <w:rFonts w:ascii="Arial" w:hAnsi="Arial" w:cs="Arial"/>
          <w:sz w:val="20"/>
          <w:szCs w:val="20"/>
        </w:rPr>
        <w:lastRenderedPageBreak/>
        <w:t>La Agencia de Recaudación de la provincia de Buenos Aires suspende, temporalmente, la solicitud de medidas cautelares en juicios de apremio desde hoy, martes 26 de agosto, hasta el 31 de diciembre.</w:t>
      </w:r>
    </w:p>
    <w:p w14:paraId="6FB6F84F" w14:textId="77777777" w:rsidR="0054346F" w:rsidRPr="00215341" w:rsidRDefault="0054346F" w:rsidP="00215341">
      <w:pPr>
        <w:spacing w:line="360" w:lineRule="atLeast"/>
        <w:jc w:val="both"/>
        <w:rPr>
          <w:rFonts w:ascii="Arial" w:hAnsi="Arial" w:cs="Arial"/>
          <w:b/>
          <w:bCs/>
          <w:sz w:val="20"/>
          <w:szCs w:val="20"/>
        </w:rPr>
      </w:pPr>
    </w:p>
    <w:p w14:paraId="05C36E83" w14:textId="56D2AA22" w:rsidR="00215341" w:rsidRPr="00215341" w:rsidRDefault="009D2AFD" w:rsidP="00215341">
      <w:pPr>
        <w:pStyle w:val="Prrafodelista"/>
        <w:numPr>
          <w:ilvl w:val="0"/>
          <w:numId w:val="4"/>
        </w:numPr>
        <w:spacing w:line="360" w:lineRule="atLeast"/>
        <w:jc w:val="both"/>
        <w:rPr>
          <w:rFonts w:ascii="Arial" w:hAnsi="Arial" w:cs="Arial"/>
          <w:b/>
          <w:bCs/>
          <w:sz w:val="20"/>
          <w:szCs w:val="20"/>
        </w:rPr>
      </w:pPr>
      <w:r>
        <w:rPr>
          <w:rFonts w:ascii="Arial" w:hAnsi="Arial" w:cs="Arial"/>
          <w:b/>
          <w:bCs/>
          <w:sz w:val="20"/>
          <w:szCs w:val="20"/>
        </w:rPr>
        <w:t>CABA</w:t>
      </w:r>
      <w:r w:rsidR="00215341" w:rsidRPr="00215341">
        <w:rPr>
          <w:rFonts w:ascii="Arial" w:hAnsi="Arial" w:cs="Arial"/>
          <w:b/>
          <w:bCs/>
          <w:sz w:val="20"/>
          <w:szCs w:val="20"/>
        </w:rPr>
        <w:t xml:space="preserve">. </w:t>
      </w:r>
      <w:r w:rsidRPr="009D2AFD">
        <w:rPr>
          <w:rFonts w:ascii="Arial" w:hAnsi="Arial" w:cs="Arial"/>
          <w:b/>
          <w:bCs/>
          <w:sz w:val="20"/>
          <w:szCs w:val="20"/>
        </w:rPr>
        <w:t xml:space="preserve">RESOLUCIÓN (AGIP Bs. As. </w:t>
      </w:r>
      <w:proofErr w:type="spellStart"/>
      <w:r w:rsidRPr="009D2AFD">
        <w:rPr>
          <w:rFonts w:ascii="Arial" w:hAnsi="Arial" w:cs="Arial"/>
          <w:b/>
          <w:bCs/>
          <w:sz w:val="20"/>
          <w:szCs w:val="20"/>
        </w:rPr>
        <w:t>cdad.</w:t>
      </w:r>
      <w:proofErr w:type="spellEnd"/>
      <w:r w:rsidRPr="009D2AFD">
        <w:rPr>
          <w:rFonts w:ascii="Arial" w:hAnsi="Arial" w:cs="Arial"/>
          <w:b/>
          <w:bCs/>
          <w:sz w:val="20"/>
          <w:szCs w:val="20"/>
        </w:rPr>
        <w:t>) 365/2025</w:t>
      </w:r>
      <w:r w:rsidR="00215341" w:rsidRPr="00215341">
        <w:rPr>
          <w:rFonts w:ascii="Arial" w:hAnsi="Arial" w:cs="Arial"/>
          <w:b/>
          <w:bCs/>
          <w:sz w:val="20"/>
          <w:szCs w:val="20"/>
        </w:rPr>
        <w:t xml:space="preserve">. </w:t>
      </w:r>
      <w:r w:rsidRPr="009D2AFD">
        <w:rPr>
          <w:rFonts w:ascii="Arial" w:hAnsi="Arial" w:cs="Arial"/>
          <w:b/>
          <w:bCs/>
          <w:sz w:val="20"/>
          <w:szCs w:val="20"/>
        </w:rPr>
        <w:t>Ciudad de Buenos Aires: reempadronamiento de los contribuyentes de ingresos brutos</w:t>
      </w:r>
      <w:r>
        <w:rPr>
          <w:rFonts w:ascii="Arial" w:hAnsi="Arial" w:cs="Arial"/>
          <w:b/>
          <w:bCs/>
          <w:sz w:val="20"/>
          <w:szCs w:val="20"/>
        </w:rPr>
        <w:t>.</w:t>
      </w:r>
    </w:p>
    <w:p w14:paraId="0A2F8166" w14:textId="77777777" w:rsidR="0054346F" w:rsidRPr="0054346F" w:rsidRDefault="0054346F" w:rsidP="0054346F">
      <w:pPr>
        <w:spacing w:line="360" w:lineRule="atLeast"/>
        <w:jc w:val="both"/>
        <w:rPr>
          <w:rFonts w:ascii="Arial" w:hAnsi="Arial" w:cs="Arial"/>
          <w:sz w:val="20"/>
          <w:szCs w:val="20"/>
        </w:rPr>
      </w:pPr>
      <w:r w:rsidRPr="0054346F">
        <w:rPr>
          <w:rFonts w:ascii="Arial" w:hAnsi="Arial" w:cs="Arial"/>
          <w:sz w:val="20"/>
          <w:szCs w:val="20"/>
        </w:rPr>
        <w:t>AGIP dispone el reempadronamiento obligatorio de los contribuyentes del Impuesto sobre los Ingresos Brutos en la Ciudad Autónoma de Buenos Aires, comprendidos en las categorías Locales, Régimen Simplificado y Actividades Especiales.</w:t>
      </w:r>
    </w:p>
    <w:p w14:paraId="6AF064C2" w14:textId="77777777" w:rsidR="0054346F" w:rsidRDefault="0054346F" w:rsidP="0054346F">
      <w:pPr>
        <w:spacing w:line="360" w:lineRule="atLeast"/>
        <w:jc w:val="both"/>
        <w:rPr>
          <w:rFonts w:ascii="Arial" w:hAnsi="Arial" w:cs="Arial"/>
          <w:sz w:val="20"/>
          <w:szCs w:val="20"/>
        </w:rPr>
      </w:pPr>
      <w:r w:rsidRPr="0054346F">
        <w:rPr>
          <w:rFonts w:ascii="Arial" w:hAnsi="Arial" w:cs="Arial"/>
          <w:sz w:val="20"/>
          <w:szCs w:val="20"/>
        </w:rPr>
        <w:t>Dicho reempadronamiento, comprende exclusivamente a quienes estén inscriptos bajo códigos de actividad que fueron sustituidos y desarrollen actividades incluidas en los nuevos códigos incorporados al NAES de la Comisión Arbitral del Convenio Multilateral.</w:t>
      </w:r>
    </w:p>
    <w:p w14:paraId="255A175C" w14:textId="77777777" w:rsidR="009D2AFD" w:rsidRDefault="009D2AFD" w:rsidP="0054346F">
      <w:pPr>
        <w:spacing w:line="360" w:lineRule="atLeast"/>
        <w:jc w:val="both"/>
        <w:rPr>
          <w:rFonts w:ascii="Arial" w:hAnsi="Arial" w:cs="Arial"/>
          <w:sz w:val="20"/>
          <w:szCs w:val="20"/>
        </w:rPr>
      </w:pPr>
    </w:p>
    <w:p w14:paraId="60F2D412" w14:textId="7A2B6783" w:rsidR="002C07F5" w:rsidRPr="002C07F5" w:rsidRDefault="009D2AFD" w:rsidP="002C07F5">
      <w:pPr>
        <w:pStyle w:val="Prrafodelista"/>
        <w:numPr>
          <w:ilvl w:val="0"/>
          <w:numId w:val="4"/>
        </w:numPr>
        <w:spacing w:line="360" w:lineRule="atLeast"/>
        <w:jc w:val="both"/>
        <w:rPr>
          <w:rFonts w:ascii="Arial" w:hAnsi="Arial" w:cs="Arial"/>
          <w:b/>
          <w:bCs/>
          <w:sz w:val="20"/>
          <w:szCs w:val="20"/>
        </w:rPr>
      </w:pPr>
      <w:r>
        <w:rPr>
          <w:rFonts w:ascii="Arial" w:hAnsi="Arial" w:cs="Arial"/>
          <w:b/>
          <w:bCs/>
          <w:sz w:val="20"/>
          <w:szCs w:val="20"/>
        </w:rPr>
        <w:t>BUENOS AIRES</w:t>
      </w:r>
      <w:r w:rsidR="002C07F5" w:rsidRPr="002C07F5">
        <w:rPr>
          <w:rFonts w:ascii="Arial" w:hAnsi="Arial" w:cs="Arial"/>
          <w:b/>
          <w:bCs/>
          <w:sz w:val="20"/>
          <w:szCs w:val="20"/>
        </w:rPr>
        <w:t xml:space="preserve">. </w:t>
      </w:r>
      <w:r w:rsidRPr="009D2AFD">
        <w:rPr>
          <w:rFonts w:ascii="Arial" w:hAnsi="Arial" w:cs="Arial"/>
          <w:b/>
          <w:bCs/>
          <w:sz w:val="20"/>
          <w:szCs w:val="20"/>
        </w:rPr>
        <w:t>RESOLUCIÓN NORMATIVA (ARBA Bs. As.) 21/2025</w:t>
      </w:r>
      <w:r w:rsidR="002C07F5" w:rsidRPr="002C07F5">
        <w:rPr>
          <w:rFonts w:ascii="Arial" w:hAnsi="Arial" w:cs="Arial"/>
          <w:b/>
          <w:bCs/>
          <w:sz w:val="20"/>
          <w:szCs w:val="20"/>
        </w:rPr>
        <w:t xml:space="preserve">. </w:t>
      </w:r>
      <w:r w:rsidRPr="009D2AFD">
        <w:rPr>
          <w:rFonts w:ascii="Arial" w:hAnsi="Arial" w:cs="Arial"/>
          <w:b/>
          <w:bCs/>
          <w:sz w:val="20"/>
          <w:szCs w:val="20"/>
        </w:rPr>
        <w:t>Buenos Aires adecua el régimen de recaudación SIRTAC para el ingreso en pesos de importes recaudados en moneda extranjera</w:t>
      </w:r>
      <w:r>
        <w:rPr>
          <w:rFonts w:ascii="Arial" w:hAnsi="Arial" w:cs="Arial"/>
          <w:b/>
          <w:bCs/>
          <w:sz w:val="20"/>
          <w:szCs w:val="20"/>
        </w:rPr>
        <w:t>.</w:t>
      </w:r>
    </w:p>
    <w:p w14:paraId="00C174DC" w14:textId="77777777" w:rsidR="009D2AFD" w:rsidRDefault="009D2AFD" w:rsidP="009D2AFD">
      <w:pPr>
        <w:spacing w:line="360" w:lineRule="atLeast"/>
        <w:jc w:val="both"/>
        <w:rPr>
          <w:rFonts w:ascii="Arial" w:hAnsi="Arial" w:cs="Arial"/>
          <w:sz w:val="20"/>
          <w:szCs w:val="20"/>
        </w:rPr>
      </w:pPr>
      <w:r w:rsidRPr="009D2AFD">
        <w:rPr>
          <w:rFonts w:ascii="Arial" w:hAnsi="Arial" w:cs="Arial"/>
          <w:sz w:val="20"/>
          <w:szCs w:val="20"/>
        </w:rPr>
        <w:t>La ARBA adecua el Sistema de Recaudación sobre Tarjetas de Crédito y Compra del impuesto sobre los ingresos brutos y establece que los importes recaudados en moneda extranjera deberán ingresarse en pesos, aplicando la cotización del tipo vendedor del Banco de la Nación Argentina, vigente al cierre del día hábil anterior a la fecha de la recaudación del tributo.</w:t>
      </w:r>
    </w:p>
    <w:p w14:paraId="05C1514E" w14:textId="77777777" w:rsidR="004037F1" w:rsidRDefault="004037F1" w:rsidP="009D2AFD">
      <w:pPr>
        <w:spacing w:line="360" w:lineRule="atLeast"/>
        <w:jc w:val="both"/>
        <w:rPr>
          <w:rFonts w:ascii="Arial" w:hAnsi="Arial" w:cs="Arial"/>
          <w:sz w:val="20"/>
          <w:szCs w:val="20"/>
        </w:rPr>
      </w:pPr>
    </w:p>
    <w:p w14:paraId="714F0A5A" w14:textId="197AF42A" w:rsidR="00FF4519" w:rsidRPr="00FF4519" w:rsidRDefault="00FF4519" w:rsidP="00FF4519">
      <w:pPr>
        <w:pStyle w:val="Prrafodelista"/>
        <w:numPr>
          <w:ilvl w:val="0"/>
          <w:numId w:val="4"/>
        </w:numPr>
        <w:spacing w:line="360" w:lineRule="atLeast"/>
        <w:jc w:val="both"/>
        <w:rPr>
          <w:rFonts w:ascii="Arial" w:hAnsi="Arial" w:cs="Arial"/>
          <w:b/>
          <w:bCs/>
          <w:sz w:val="20"/>
          <w:szCs w:val="20"/>
        </w:rPr>
      </w:pPr>
      <w:r w:rsidRPr="00FF4519">
        <w:rPr>
          <w:rFonts w:ascii="Arial" w:hAnsi="Arial" w:cs="Arial"/>
          <w:b/>
          <w:bCs/>
          <w:sz w:val="20"/>
          <w:szCs w:val="20"/>
        </w:rPr>
        <w:t>MISIONES.</w:t>
      </w:r>
      <w:r w:rsidRPr="00FF4519">
        <w:rPr>
          <w:b/>
          <w:bCs/>
        </w:rPr>
        <w:t xml:space="preserve"> RESOLUCIÓN (DGR Misiones) 17/2025. </w:t>
      </w:r>
      <w:r w:rsidRPr="00FF4519">
        <w:rPr>
          <w:rFonts w:ascii="Arial" w:hAnsi="Arial" w:cs="Arial"/>
          <w:b/>
          <w:bCs/>
          <w:sz w:val="20"/>
          <w:szCs w:val="20"/>
        </w:rPr>
        <w:t>Misiones reduce la alícuota del régimen de pago a cuenta para contribuyentes con actividad industrial</w:t>
      </w:r>
    </w:p>
    <w:p w14:paraId="64095B73" w14:textId="281A8126" w:rsidR="00FF4519" w:rsidRDefault="00FF4519" w:rsidP="00FF4519">
      <w:pPr>
        <w:spacing w:line="360" w:lineRule="atLeast"/>
        <w:jc w:val="both"/>
        <w:rPr>
          <w:rFonts w:ascii="Arial" w:hAnsi="Arial" w:cs="Arial"/>
          <w:sz w:val="20"/>
          <w:szCs w:val="20"/>
        </w:rPr>
      </w:pPr>
      <w:r w:rsidRPr="00FF4519">
        <w:rPr>
          <w:rFonts w:ascii="Arial" w:hAnsi="Arial" w:cs="Arial"/>
          <w:sz w:val="20"/>
          <w:szCs w:val="20"/>
        </w:rPr>
        <w:t>La Dirección General de Rentas fija, hasta el 31 de diciembre, en 1,5% la alícuota del régimen de pago a cuenta del impuesto sobre los ingresos brutos para los contribuyentes de Convenio Multilateral que cumplan con determinadas condiciones.</w:t>
      </w:r>
    </w:p>
    <w:p w14:paraId="788F6D93" w14:textId="77777777" w:rsidR="004037F1" w:rsidRDefault="004037F1" w:rsidP="00FF4519">
      <w:pPr>
        <w:spacing w:line="360" w:lineRule="atLeast"/>
        <w:jc w:val="both"/>
        <w:rPr>
          <w:rFonts w:ascii="Arial" w:hAnsi="Arial" w:cs="Arial"/>
          <w:sz w:val="20"/>
          <w:szCs w:val="20"/>
        </w:rPr>
      </w:pPr>
    </w:p>
    <w:p w14:paraId="1BFB29F1" w14:textId="3603C28E" w:rsidR="00FF4519" w:rsidRPr="00FF4519" w:rsidRDefault="00FF4519" w:rsidP="00FF4519">
      <w:pPr>
        <w:pStyle w:val="Prrafodelista"/>
        <w:numPr>
          <w:ilvl w:val="0"/>
          <w:numId w:val="4"/>
        </w:numPr>
        <w:spacing w:line="360" w:lineRule="atLeast"/>
        <w:jc w:val="both"/>
        <w:rPr>
          <w:rFonts w:ascii="Arial" w:hAnsi="Arial" w:cs="Arial"/>
          <w:b/>
          <w:bCs/>
          <w:sz w:val="20"/>
          <w:szCs w:val="20"/>
        </w:rPr>
      </w:pPr>
      <w:r w:rsidRPr="00FF4519">
        <w:rPr>
          <w:rFonts w:ascii="Arial" w:hAnsi="Arial" w:cs="Arial"/>
          <w:b/>
          <w:bCs/>
          <w:sz w:val="20"/>
          <w:szCs w:val="20"/>
        </w:rPr>
        <w:t>BUENOS AIRES. RESOLUCIÓN NORMATIVA (ARBA Bs. As.) 24/2025. Buenos Aires eleva el importe límite de saldo a favor para acceder al procedimiento simplificado de demandas de repetición de ingresos brutos, inmobiliario y automotores</w:t>
      </w:r>
      <w:r>
        <w:rPr>
          <w:rFonts w:ascii="Arial" w:hAnsi="Arial" w:cs="Arial"/>
          <w:b/>
          <w:bCs/>
          <w:sz w:val="20"/>
          <w:szCs w:val="20"/>
        </w:rPr>
        <w:t>.</w:t>
      </w:r>
    </w:p>
    <w:p w14:paraId="1950B6DD" w14:textId="39C61F81" w:rsidR="00FF4519" w:rsidRDefault="00FF4519" w:rsidP="00FF4519">
      <w:pPr>
        <w:spacing w:line="360" w:lineRule="atLeast"/>
        <w:jc w:val="both"/>
        <w:rPr>
          <w:rFonts w:ascii="Arial" w:hAnsi="Arial" w:cs="Arial"/>
          <w:sz w:val="20"/>
          <w:szCs w:val="20"/>
        </w:rPr>
      </w:pPr>
      <w:r w:rsidRPr="00FF4519">
        <w:rPr>
          <w:rFonts w:ascii="Arial" w:hAnsi="Arial" w:cs="Arial"/>
          <w:sz w:val="20"/>
          <w:szCs w:val="20"/>
        </w:rPr>
        <w:t>La ARBA incrementa de $ 1.000.000 a $ 3.500.000 el monto de saldo a favor, hasta el cual se podrá solicitar su repetición por el procedimiento abreviado en forma digital, para los impuestos sobre los ingresos brutos, inmobiliario y a los automotores.</w:t>
      </w:r>
    </w:p>
    <w:p w14:paraId="13428BBB" w14:textId="77777777" w:rsidR="004037F1" w:rsidRPr="004037F1" w:rsidRDefault="004037F1" w:rsidP="00FF4519">
      <w:pPr>
        <w:spacing w:line="360" w:lineRule="atLeast"/>
        <w:jc w:val="both"/>
        <w:rPr>
          <w:rFonts w:ascii="Arial" w:hAnsi="Arial" w:cs="Arial"/>
          <w:b/>
          <w:bCs/>
          <w:sz w:val="20"/>
          <w:szCs w:val="20"/>
        </w:rPr>
      </w:pPr>
    </w:p>
    <w:p w14:paraId="0FC5D06A" w14:textId="35F2E963" w:rsidR="00A903D4" w:rsidRPr="004037F1" w:rsidRDefault="00A903D4" w:rsidP="00A903D4">
      <w:pPr>
        <w:pStyle w:val="Prrafodelista"/>
        <w:numPr>
          <w:ilvl w:val="0"/>
          <w:numId w:val="4"/>
        </w:numPr>
        <w:spacing w:line="360" w:lineRule="atLeast"/>
        <w:jc w:val="both"/>
        <w:rPr>
          <w:rFonts w:ascii="Arial" w:hAnsi="Arial" w:cs="Arial"/>
          <w:b/>
          <w:bCs/>
          <w:sz w:val="20"/>
          <w:szCs w:val="20"/>
        </w:rPr>
      </w:pPr>
      <w:r w:rsidRPr="004037F1">
        <w:rPr>
          <w:rFonts w:ascii="Arial" w:hAnsi="Arial" w:cs="Arial"/>
          <w:b/>
          <w:bCs/>
          <w:sz w:val="20"/>
          <w:szCs w:val="20"/>
        </w:rPr>
        <w:t>BUENOS AIRES. RESOLUCIÓN NORMATIVA (ARBA Bs. As.) 26/2025. Buenos Aires modifica el mecanismo para solicitar exclusión o reducción de alícuotas de regímenes de recaudación de ingresos brutos</w:t>
      </w:r>
    </w:p>
    <w:p w14:paraId="4DD57A44" w14:textId="77777777" w:rsidR="00A903D4" w:rsidRPr="00A903D4" w:rsidRDefault="00A903D4" w:rsidP="00A903D4">
      <w:pPr>
        <w:spacing w:line="360" w:lineRule="atLeast"/>
        <w:jc w:val="both"/>
        <w:rPr>
          <w:rFonts w:ascii="Arial" w:hAnsi="Arial" w:cs="Arial"/>
          <w:sz w:val="20"/>
          <w:szCs w:val="20"/>
        </w:rPr>
      </w:pPr>
      <w:r w:rsidRPr="00A903D4">
        <w:rPr>
          <w:rFonts w:ascii="Arial" w:hAnsi="Arial" w:cs="Arial"/>
          <w:sz w:val="20"/>
          <w:szCs w:val="20"/>
        </w:rPr>
        <w:t>ARBA actualiza el texto normativo del procedimiento para solicitar la exclusión o reducción de alícuotas de regímenes de recaudación del impuesto sobre los ingresos brutos, incorporando los cambios efectuados con posterioridad a su dictado.</w:t>
      </w:r>
    </w:p>
    <w:p w14:paraId="20F6DDFB" w14:textId="11C04EAF" w:rsidR="00A903D4" w:rsidRDefault="00A903D4" w:rsidP="00A903D4">
      <w:pPr>
        <w:spacing w:line="360" w:lineRule="atLeast"/>
        <w:jc w:val="both"/>
        <w:rPr>
          <w:rFonts w:ascii="Arial" w:hAnsi="Arial" w:cs="Arial"/>
          <w:sz w:val="20"/>
          <w:szCs w:val="20"/>
        </w:rPr>
      </w:pPr>
      <w:r w:rsidRPr="00A903D4">
        <w:rPr>
          <w:rFonts w:ascii="Arial" w:hAnsi="Arial" w:cs="Arial"/>
          <w:sz w:val="20"/>
          <w:szCs w:val="20"/>
        </w:rPr>
        <w:t>Destacamos que se incorpora la posibilidad de presentar un reclamo fundado en aquellos casos de alta en el impuesto posterior a la confección del padrón vigente o, adhesión al régimen simplificado del impuesto sobre los ingresos brutos posterior a la confección del padrón vigente.</w:t>
      </w:r>
    </w:p>
    <w:p w14:paraId="3CA05E74" w14:textId="77777777" w:rsidR="004037F1" w:rsidRPr="004037F1" w:rsidRDefault="004037F1" w:rsidP="00A903D4">
      <w:pPr>
        <w:spacing w:line="360" w:lineRule="atLeast"/>
        <w:jc w:val="both"/>
        <w:rPr>
          <w:rFonts w:ascii="Arial" w:hAnsi="Arial" w:cs="Arial"/>
          <w:b/>
          <w:bCs/>
          <w:sz w:val="20"/>
          <w:szCs w:val="20"/>
        </w:rPr>
      </w:pPr>
    </w:p>
    <w:p w14:paraId="4CDB9C9D" w14:textId="710B4650" w:rsidR="00E41F76" w:rsidRPr="004037F1" w:rsidRDefault="00E41F76" w:rsidP="00B309F7">
      <w:pPr>
        <w:pStyle w:val="Prrafodelista"/>
        <w:numPr>
          <w:ilvl w:val="0"/>
          <w:numId w:val="4"/>
        </w:numPr>
        <w:spacing w:line="360" w:lineRule="atLeast"/>
        <w:jc w:val="both"/>
        <w:rPr>
          <w:rFonts w:ascii="Arial" w:hAnsi="Arial" w:cs="Arial"/>
          <w:b/>
          <w:bCs/>
          <w:sz w:val="20"/>
          <w:szCs w:val="20"/>
        </w:rPr>
      </w:pPr>
      <w:r w:rsidRPr="004037F1">
        <w:rPr>
          <w:rFonts w:ascii="Arial" w:hAnsi="Arial" w:cs="Arial"/>
          <w:b/>
          <w:bCs/>
          <w:sz w:val="20"/>
          <w:szCs w:val="20"/>
        </w:rPr>
        <w:t>SANTA FE. Resolución General N° 0039/2025. Ingresos Brutos - Exención inc. l) art. 213 Código Fiscal.</w:t>
      </w:r>
    </w:p>
    <w:p w14:paraId="754CB7F3" w14:textId="54ECDB95" w:rsidR="00E41F76" w:rsidRDefault="00E41F76" w:rsidP="00E41F76">
      <w:pPr>
        <w:spacing w:line="360" w:lineRule="atLeast"/>
        <w:jc w:val="both"/>
        <w:rPr>
          <w:rFonts w:ascii="Arial" w:hAnsi="Arial" w:cs="Arial"/>
          <w:sz w:val="20"/>
          <w:szCs w:val="20"/>
        </w:rPr>
      </w:pPr>
      <w:r>
        <w:rPr>
          <w:rFonts w:ascii="Arial" w:hAnsi="Arial" w:cs="Arial"/>
          <w:sz w:val="20"/>
          <w:szCs w:val="20"/>
        </w:rPr>
        <w:t>S</w:t>
      </w:r>
      <w:r w:rsidRPr="00E41F76">
        <w:rPr>
          <w:rFonts w:ascii="Arial" w:hAnsi="Arial" w:cs="Arial"/>
          <w:sz w:val="20"/>
          <w:szCs w:val="20"/>
        </w:rPr>
        <w:t>e establecen los requisitos y el procedimiento para otorgar la exención del inciso l) del artículo 213 del Código Fiscal (</w:t>
      </w:r>
      <w:proofErr w:type="spellStart"/>
      <w:r w:rsidRPr="00E41F76">
        <w:rPr>
          <w:rFonts w:ascii="Arial" w:hAnsi="Arial" w:cs="Arial"/>
          <w:sz w:val="20"/>
          <w:szCs w:val="20"/>
        </w:rPr>
        <w:t>t.o</w:t>
      </w:r>
      <w:proofErr w:type="spellEnd"/>
      <w:r w:rsidRPr="00E41F76">
        <w:rPr>
          <w:rFonts w:ascii="Arial" w:hAnsi="Arial" w:cs="Arial"/>
          <w:sz w:val="20"/>
          <w:szCs w:val="20"/>
        </w:rPr>
        <w:t>. 2014 y modificatorias). </w:t>
      </w:r>
    </w:p>
    <w:p w14:paraId="2D3CB301" w14:textId="77777777" w:rsidR="004037F1" w:rsidRPr="004037F1" w:rsidRDefault="004037F1" w:rsidP="00E41F76">
      <w:pPr>
        <w:spacing w:line="360" w:lineRule="atLeast"/>
        <w:jc w:val="both"/>
        <w:rPr>
          <w:rFonts w:ascii="Arial" w:hAnsi="Arial" w:cs="Arial"/>
          <w:b/>
          <w:bCs/>
          <w:sz w:val="20"/>
          <w:szCs w:val="20"/>
        </w:rPr>
      </w:pPr>
    </w:p>
    <w:p w14:paraId="6C799E77" w14:textId="77777777" w:rsidR="004037F1" w:rsidRPr="004037F1" w:rsidRDefault="00E41F76" w:rsidP="00E41F76">
      <w:pPr>
        <w:pStyle w:val="Prrafodelista"/>
        <w:numPr>
          <w:ilvl w:val="0"/>
          <w:numId w:val="4"/>
        </w:numPr>
        <w:spacing w:line="360" w:lineRule="atLeast"/>
        <w:jc w:val="both"/>
        <w:rPr>
          <w:rFonts w:ascii="Arial" w:hAnsi="Arial" w:cs="Arial"/>
          <w:b/>
          <w:bCs/>
          <w:sz w:val="20"/>
          <w:szCs w:val="20"/>
        </w:rPr>
      </w:pPr>
      <w:r w:rsidRPr="004037F1">
        <w:rPr>
          <w:rFonts w:ascii="Arial" w:hAnsi="Arial" w:cs="Arial"/>
          <w:b/>
          <w:bCs/>
          <w:sz w:val="20"/>
          <w:szCs w:val="20"/>
        </w:rPr>
        <w:t>SANTA FE. Resolución General N° 0040/2025</w:t>
      </w:r>
      <w:r w:rsidR="004037F1" w:rsidRPr="004037F1">
        <w:rPr>
          <w:rFonts w:ascii="Arial" w:hAnsi="Arial" w:cs="Arial"/>
          <w:b/>
          <w:bCs/>
          <w:sz w:val="20"/>
          <w:szCs w:val="20"/>
        </w:rPr>
        <w:t>.</w:t>
      </w:r>
      <w:r w:rsidRPr="004037F1">
        <w:rPr>
          <w:rFonts w:ascii="Arial" w:hAnsi="Arial" w:cs="Arial"/>
          <w:b/>
          <w:bCs/>
          <w:sz w:val="20"/>
          <w:szCs w:val="20"/>
        </w:rPr>
        <w:t xml:space="preserve"> </w:t>
      </w:r>
      <w:r w:rsidR="004037F1" w:rsidRPr="004037F1">
        <w:rPr>
          <w:rFonts w:ascii="Arial" w:hAnsi="Arial" w:cs="Arial"/>
          <w:b/>
          <w:bCs/>
          <w:sz w:val="20"/>
          <w:szCs w:val="20"/>
        </w:rPr>
        <w:t>Ingresos Brutos - Corretaje Inmobiliario.</w:t>
      </w:r>
    </w:p>
    <w:p w14:paraId="228A4E08" w14:textId="7AD86791" w:rsidR="00E41F76" w:rsidRDefault="004037F1" w:rsidP="004037F1">
      <w:pPr>
        <w:spacing w:line="360" w:lineRule="atLeast"/>
        <w:jc w:val="both"/>
        <w:rPr>
          <w:rFonts w:ascii="Arial" w:hAnsi="Arial" w:cs="Arial"/>
          <w:sz w:val="20"/>
          <w:szCs w:val="20"/>
        </w:rPr>
      </w:pPr>
      <w:r>
        <w:rPr>
          <w:rFonts w:ascii="Arial" w:hAnsi="Arial" w:cs="Arial"/>
          <w:sz w:val="20"/>
          <w:szCs w:val="20"/>
        </w:rPr>
        <w:t>S</w:t>
      </w:r>
      <w:r w:rsidR="00E41F76" w:rsidRPr="004037F1">
        <w:rPr>
          <w:rFonts w:ascii="Arial" w:hAnsi="Arial" w:cs="Arial"/>
          <w:sz w:val="20"/>
          <w:szCs w:val="20"/>
        </w:rPr>
        <w:t>e establecen pautas para la exención de la actividad corretaje inmobiliario y se modifica el artículo 1° de la R.G. 11/2003.</w:t>
      </w:r>
    </w:p>
    <w:p w14:paraId="491726BC" w14:textId="77777777" w:rsidR="00BC3457" w:rsidRPr="00BC3457" w:rsidRDefault="00BC3457" w:rsidP="004037F1">
      <w:pPr>
        <w:spacing w:line="360" w:lineRule="atLeast"/>
        <w:jc w:val="both"/>
        <w:rPr>
          <w:rFonts w:ascii="Arial" w:hAnsi="Arial" w:cs="Arial"/>
          <w:b/>
          <w:bCs/>
          <w:sz w:val="20"/>
          <w:szCs w:val="20"/>
        </w:rPr>
      </w:pPr>
    </w:p>
    <w:p w14:paraId="28AFA1CF" w14:textId="62A892A0" w:rsidR="00BC3457" w:rsidRPr="00BC3457" w:rsidRDefault="00BC3457" w:rsidP="00BC3457">
      <w:pPr>
        <w:pStyle w:val="Prrafodelista"/>
        <w:numPr>
          <w:ilvl w:val="0"/>
          <w:numId w:val="4"/>
        </w:numPr>
        <w:spacing w:line="360" w:lineRule="atLeast"/>
        <w:jc w:val="both"/>
        <w:rPr>
          <w:rFonts w:ascii="Arial" w:hAnsi="Arial" w:cs="Arial"/>
          <w:b/>
          <w:bCs/>
          <w:sz w:val="20"/>
          <w:szCs w:val="20"/>
        </w:rPr>
      </w:pPr>
      <w:r w:rsidRPr="00BC3457">
        <w:rPr>
          <w:rFonts w:ascii="Arial" w:hAnsi="Arial" w:cs="Arial"/>
          <w:b/>
          <w:bCs/>
          <w:sz w:val="20"/>
          <w:szCs w:val="20"/>
        </w:rPr>
        <w:t>BUENOS AIRES. R</w:t>
      </w:r>
      <w:r w:rsidRPr="00BC3457">
        <w:rPr>
          <w:rFonts w:ascii="Arial" w:hAnsi="Arial" w:cs="Arial"/>
          <w:b/>
          <w:bCs/>
          <w:sz w:val="20"/>
          <w:szCs w:val="20"/>
        </w:rPr>
        <w:t>esolución normativa 25/202</w:t>
      </w:r>
      <w:r w:rsidRPr="00BC3457">
        <w:rPr>
          <w:rFonts w:ascii="Arial" w:hAnsi="Arial" w:cs="Arial"/>
          <w:b/>
          <w:bCs/>
          <w:sz w:val="20"/>
          <w:szCs w:val="20"/>
        </w:rPr>
        <w:t xml:space="preserve">5. </w:t>
      </w:r>
      <w:r w:rsidRPr="00BC3457">
        <w:rPr>
          <w:rFonts w:ascii="Arial" w:hAnsi="Arial" w:cs="Arial"/>
          <w:b/>
          <w:bCs/>
          <w:sz w:val="20"/>
          <w:szCs w:val="20"/>
        </w:rPr>
        <w:t>ARBA implementó un nuevo régimen de retención de ingresos brutos en plataformas de pago digital</w:t>
      </w:r>
    </w:p>
    <w:p w14:paraId="312A6863" w14:textId="77777777" w:rsidR="00BC3457" w:rsidRPr="00BC3457" w:rsidRDefault="00BC3457" w:rsidP="00BC3457">
      <w:pPr>
        <w:spacing w:line="360" w:lineRule="atLeast"/>
        <w:jc w:val="both"/>
        <w:rPr>
          <w:rFonts w:ascii="Arial" w:hAnsi="Arial" w:cs="Arial"/>
          <w:sz w:val="20"/>
          <w:szCs w:val="20"/>
        </w:rPr>
      </w:pPr>
      <w:r w:rsidRPr="00BC3457">
        <w:rPr>
          <w:rFonts w:ascii="Arial" w:hAnsi="Arial" w:cs="Arial"/>
          <w:sz w:val="20"/>
          <w:szCs w:val="20"/>
        </w:rPr>
        <w:t xml:space="preserve">La resolución normativa (ARBA Bs. As.) 25/2025 establece un nuevo mecanismo de recaudación que amplía el universo de agentes de retención. </w:t>
      </w:r>
    </w:p>
    <w:p w14:paraId="0FEEFB08" w14:textId="77777777" w:rsidR="00BC3457" w:rsidRPr="00BC3457" w:rsidRDefault="00BC3457" w:rsidP="00BC3457">
      <w:pPr>
        <w:spacing w:line="360" w:lineRule="atLeast"/>
        <w:jc w:val="both"/>
        <w:rPr>
          <w:rFonts w:ascii="Arial" w:hAnsi="Arial" w:cs="Arial"/>
          <w:sz w:val="20"/>
          <w:szCs w:val="20"/>
        </w:rPr>
      </w:pPr>
      <w:r w:rsidRPr="00BC3457">
        <w:rPr>
          <w:rFonts w:ascii="Arial" w:hAnsi="Arial" w:cs="Arial"/>
          <w:sz w:val="20"/>
          <w:szCs w:val="20"/>
        </w:rPr>
        <w:t xml:space="preserve">A partir de ahora, los Proveedores de Servicios de Pago que ofrecen Cuentas de Pago (PSPOCP), como Mercado Pago, </w:t>
      </w:r>
      <w:proofErr w:type="spellStart"/>
      <w:r w:rsidRPr="00BC3457">
        <w:rPr>
          <w:rFonts w:ascii="Arial" w:hAnsi="Arial" w:cs="Arial"/>
          <w:sz w:val="20"/>
          <w:szCs w:val="20"/>
        </w:rPr>
        <w:t>Ualá</w:t>
      </w:r>
      <w:proofErr w:type="spellEnd"/>
      <w:r w:rsidRPr="00BC3457">
        <w:rPr>
          <w:rFonts w:ascii="Arial" w:hAnsi="Arial" w:cs="Arial"/>
          <w:sz w:val="20"/>
          <w:szCs w:val="20"/>
        </w:rPr>
        <w:t xml:space="preserve"> y Naranja X, estarán obligados a retener un porcentaje del impuesto sobre los ingresos brutos de las acreditaciones recibidas por sus usuarios.</w:t>
      </w:r>
    </w:p>
    <w:p w14:paraId="358BEA4B" w14:textId="77777777" w:rsidR="00BC3457" w:rsidRDefault="00BC3457" w:rsidP="00BC3457">
      <w:pPr>
        <w:spacing w:line="360" w:lineRule="atLeast"/>
        <w:jc w:val="both"/>
        <w:rPr>
          <w:rFonts w:ascii="Arial" w:hAnsi="Arial" w:cs="Arial"/>
          <w:sz w:val="20"/>
          <w:szCs w:val="20"/>
        </w:rPr>
      </w:pPr>
      <w:r w:rsidRPr="00BC3457">
        <w:rPr>
          <w:rFonts w:ascii="Arial" w:hAnsi="Arial" w:cs="Arial"/>
          <w:sz w:val="20"/>
          <w:szCs w:val="20"/>
        </w:rPr>
        <w:t xml:space="preserve">Con esta norma, la provincia de Buenos Aires adhiere al Sistema Informático de Recaudación y Control de Acreditaciones en Cuentas de Pago (SIRCUPA), un sistema creado por la Comisión Arbitral del Convenio Multilateral que permite a las jurisdicciones provinciales aplicar retenciones sobre los movimientos en cuentas de pago. </w:t>
      </w:r>
    </w:p>
    <w:p w14:paraId="5D4EF81D" w14:textId="77777777" w:rsidR="00BC3457" w:rsidRPr="00BC3457" w:rsidRDefault="00BC3457" w:rsidP="00BC3457">
      <w:pPr>
        <w:spacing w:line="360" w:lineRule="atLeast"/>
        <w:jc w:val="both"/>
        <w:rPr>
          <w:rFonts w:ascii="Arial" w:hAnsi="Arial" w:cs="Arial"/>
          <w:sz w:val="20"/>
          <w:szCs w:val="20"/>
        </w:rPr>
      </w:pPr>
    </w:p>
    <w:sectPr w:rsidR="00BC3457" w:rsidRPr="00BC34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32C92"/>
    <w:multiLevelType w:val="multilevel"/>
    <w:tmpl w:val="422C2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331E0"/>
    <w:multiLevelType w:val="multilevel"/>
    <w:tmpl w:val="1D26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A20D98"/>
    <w:multiLevelType w:val="multilevel"/>
    <w:tmpl w:val="5312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FB4D88"/>
    <w:multiLevelType w:val="multilevel"/>
    <w:tmpl w:val="31E8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E385B"/>
    <w:multiLevelType w:val="multilevel"/>
    <w:tmpl w:val="5914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F041B"/>
    <w:multiLevelType w:val="multilevel"/>
    <w:tmpl w:val="611E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2F4F54"/>
    <w:multiLevelType w:val="multilevel"/>
    <w:tmpl w:val="3008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0F1E59"/>
    <w:multiLevelType w:val="multilevel"/>
    <w:tmpl w:val="F34C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DE684A"/>
    <w:multiLevelType w:val="hybridMultilevel"/>
    <w:tmpl w:val="1D24348A"/>
    <w:lvl w:ilvl="0" w:tplc="D0E0A70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63C82A6A"/>
    <w:multiLevelType w:val="hybridMultilevel"/>
    <w:tmpl w:val="B00EBFF0"/>
    <w:lvl w:ilvl="0" w:tplc="E116902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0" w15:restartNumberingAfterBreak="0">
    <w:nsid w:val="659E18E0"/>
    <w:multiLevelType w:val="multilevel"/>
    <w:tmpl w:val="213C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7A245D"/>
    <w:multiLevelType w:val="hybridMultilevel"/>
    <w:tmpl w:val="11EC100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75470009"/>
    <w:multiLevelType w:val="hybridMultilevel"/>
    <w:tmpl w:val="8A8CA55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75470699"/>
    <w:multiLevelType w:val="hybridMultilevel"/>
    <w:tmpl w:val="301271D6"/>
    <w:lvl w:ilvl="0" w:tplc="DACA15A8">
      <w:start w:val="13"/>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262688939">
    <w:abstractNumId w:val="12"/>
  </w:num>
  <w:num w:numId="2" w16cid:durableId="1341196821">
    <w:abstractNumId w:val="8"/>
  </w:num>
  <w:num w:numId="3" w16cid:durableId="363334789">
    <w:abstractNumId w:val="11"/>
  </w:num>
  <w:num w:numId="4" w16cid:durableId="1679578035">
    <w:abstractNumId w:val="9"/>
  </w:num>
  <w:num w:numId="5" w16cid:durableId="1755131846">
    <w:abstractNumId w:val="13"/>
  </w:num>
  <w:num w:numId="6" w16cid:durableId="1672835407">
    <w:abstractNumId w:val="2"/>
  </w:num>
  <w:num w:numId="7" w16cid:durableId="244192378">
    <w:abstractNumId w:val="4"/>
  </w:num>
  <w:num w:numId="8" w16cid:durableId="719866729">
    <w:abstractNumId w:val="6"/>
  </w:num>
  <w:num w:numId="9" w16cid:durableId="195437600">
    <w:abstractNumId w:val="7"/>
  </w:num>
  <w:num w:numId="10" w16cid:durableId="1311447339">
    <w:abstractNumId w:val="0"/>
  </w:num>
  <w:num w:numId="11" w16cid:durableId="157967112">
    <w:abstractNumId w:val="5"/>
  </w:num>
  <w:num w:numId="12" w16cid:durableId="22680531">
    <w:abstractNumId w:val="10"/>
  </w:num>
  <w:num w:numId="13" w16cid:durableId="10451365">
    <w:abstractNumId w:val="3"/>
  </w:num>
  <w:num w:numId="14" w16cid:durableId="357312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41D"/>
    <w:rsid w:val="00016269"/>
    <w:rsid w:val="00021F56"/>
    <w:rsid w:val="00030D32"/>
    <w:rsid w:val="000316AC"/>
    <w:rsid w:val="0003235E"/>
    <w:rsid w:val="00036FD9"/>
    <w:rsid w:val="00045ADC"/>
    <w:rsid w:val="000942BF"/>
    <w:rsid w:val="00094ACD"/>
    <w:rsid w:val="000A7870"/>
    <w:rsid w:val="000B6508"/>
    <w:rsid w:val="000B69E8"/>
    <w:rsid w:val="000D211C"/>
    <w:rsid w:val="000E7042"/>
    <w:rsid w:val="0010353D"/>
    <w:rsid w:val="00113A7A"/>
    <w:rsid w:val="0012512F"/>
    <w:rsid w:val="00144599"/>
    <w:rsid w:val="001454BC"/>
    <w:rsid w:val="00150BFA"/>
    <w:rsid w:val="001561F1"/>
    <w:rsid w:val="00166470"/>
    <w:rsid w:val="001734A0"/>
    <w:rsid w:val="001734BD"/>
    <w:rsid w:val="00187143"/>
    <w:rsid w:val="00191AB1"/>
    <w:rsid w:val="00191C25"/>
    <w:rsid w:val="00196C95"/>
    <w:rsid w:val="001A658E"/>
    <w:rsid w:val="001B3704"/>
    <w:rsid w:val="001B5503"/>
    <w:rsid w:val="001D3EC1"/>
    <w:rsid w:val="001E26F9"/>
    <w:rsid w:val="00214388"/>
    <w:rsid w:val="00215341"/>
    <w:rsid w:val="0023019B"/>
    <w:rsid w:val="002315FF"/>
    <w:rsid w:val="002376F6"/>
    <w:rsid w:val="00243693"/>
    <w:rsid w:val="002447B9"/>
    <w:rsid w:val="002458F1"/>
    <w:rsid w:val="00246AAB"/>
    <w:rsid w:val="00252892"/>
    <w:rsid w:val="00253FED"/>
    <w:rsid w:val="002562BE"/>
    <w:rsid w:val="002619C7"/>
    <w:rsid w:val="00262740"/>
    <w:rsid w:val="00265252"/>
    <w:rsid w:val="00270D66"/>
    <w:rsid w:val="002722DF"/>
    <w:rsid w:val="00273CB8"/>
    <w:rsid w:val="00277B9B"/>
    <w:rsid w:val="00281A1D"/>
    <w:rsid w:val="00282B86"/>
    <w:rsid w:val="00284216"/>
    <w:rsid w:val="00293010"/>
    <w:rsid w:val="002A5612"/>
    <w:rsid w:val="002A6A59"/>
    <w:rsid w:val="002C0030"/>
    <w:rsid w:val="002C07F5"/>
    <w:rsid w:val="002C78C1"/>
    <w:rsid w:val="002D6729"/>
    <w:rsid w:val="002D7918"/>
    <w:rsid w:val="00322019"/>
    <w:rsid w:val="00324A07"/>
    <w:rsid w:val="00332F05"/>
    <w:rsid w:val="003337AE"/>
    <w:rsid w:val="00335D14"/>
    <w:rsid w:val="00343318"/>
    <w:rsid w:val="00344587"/>
    <w:rsid w:val="00350DD3"/>
    <w:rsid w:val="00350FCE"/>
    <w:rsid w:val="00352602"/>
    <w:rsid w:val="0035300F"/>
    <w:rsid w:val="00353228"/>
    <w:rsid w:val="00354882"/>
    <w:rsid w:val="00366EBB"/>
    <w:rsid w:val="00370BAC"/>
    <w:rsid w:val="00371F63"/>
    <w:rsid w:val="00373B73"/>
    <w:rsid w:val="00380760"/>
    <w:rsid w:val="0039567C"/>
    <w:rsid w:val="00397A04"/>
    <w:rsid w:val="003A2AF2"/>
    <w:rsid w:val="003B079E"/>
    <w:rsid w:val="003B1AEA"/>
    <w:rsid w:val="003B372E"/>
    <w:rsid w:val="003B449A"/>
    <w:rsid w:val="003B4DD5"/>
    <w:rsid w:val="003D0582"/>
    <w:rsid w:val="004008B4"/>
    <w:rsid w:val="00400BB7"/>
    <w:rsid w:val="00403741"/>
    <w:rsid w:val="004037F1"/>
    <w:rsid w:val="0040619A"/>
    <w:rsid w:val="0041362E"/>
    <w:rsid w:val="00436CAF"/>
    <w:rsid w:val="00437F82"/>
    <w:rsid w:val="004422C1"/>
    <w:rsid w:val="00446CCB"/>
    <w:rsid w:val="004506D4"/>
    <w:rsid w:val="00451268"/>
    <w:rsid w:val="0045223A"/>
    <w:rsid w:val="00461674"/>
    <w:rsid w:val="00462CCF"/>
    <w:rsid w:val="00463036"/>
    <w:rsid w:val="0046391C"/>
    <w:rsid w:val="00465F0A"/>
    <w:rsid w:val="004759D6"/>
    <w:rsid w:val="0047631C"/>
    <w:rsid w:val="0047717F"/>
    <w:rsid w:val="0048199C"/>
    <w:rsid w:val="0049632E"/>
    <w:rsid w:val="004A019D"/>
    <w:rsid w:val="004A0516"/>
    <w:rsid w:val="004A6C84"/>
    <w:rsid w:val="004D47E0"/>
    <w:rsid w:val="004E372C"/>
    <w:rsid w:val="004E40B7"/>
    <w:rsid w:val="004E62FB"/>
    <w:rsid w:val="004F05C9"/>
    <w:rsid w:val="00500E2A"/>
    <w:rsid w:val="00540AE6"/>
    <w:rsid w:val="0054346F"/>
    <w:rsid w:val="005602B2"/>
    <w:rsid w:val="005617FB"/>
    <w:rsid w:val="00573120"/>
    <w:rsid w:val="00582F1F"/>
    <w:rsid w:val="0059256A"/>
    <w:rsid w:val="00596CF3"/>
    <w:rsid w:val="005B28BD"/>
    <w:rsid w:val="005B4AC4"/>
    <w:rsid w:val="005B54BF"/>
    <w:rsid w:val="005C0843"/>
    <w:rsid w:val="005C6697"/>
    <w:rsid w:val="005C6CF1"/>
    <w:rsid w:val="005D39E7"/>
    <w:rsid w:val="005E0A3B"/>
    <w:rsid w:val="005E4CD4"/>
    <w:rsid w:val="005F4487"/>
    <w:rsid w:val="00605AD2"/>
    <w:rsid w:val="0061684C"/>
    <w:rsid w:val="00633677"/>
    <w:rsid w:val="00651546"/>
    <w:rsid w:val="00653DC0"/>
    <w:rsid w:val="0065569B"/>
    <w:rsid w:val="006733A9"/>
    <w:rsid w:val="00684AD4"/>
    <w:rsid w:val="0068532B"/>
    <w:rsid w:val="00685B8E"/>
    <w:rsid w:val="00687012"/>
    <w:rsid w:val="00692B0E"/>
    <w:rsid w:val="006A3C84"/>
    <w:rsid w:val="006A79CA"/>
    <w:rsid w:val="006B4FB8"/>
    <w:rsid w:val="006C1D98"/>
    <w:rsid w:val="006C378F"/>
    <w:rsid w:val="006C7D90"/>
    <w:rsid w:val="006D2E73"/>
    <w:rsid w:val="006D5FFD"/>
    <w:rsid w:val="006E2D18"/>
    <w:rsid w:val="006E69CE"/>
    <w:rsid w:val="00701F48"/>
    <w:rsid w:val="0070200D"/>
    <w:rsid w:val="00703BB6"/>
    <w:rsid w:val="0070698E"/>
    <w:rsid w:val="0070784A"/>
    <w:rsid w:val="00713519"/>
    <w:rsid w:val="00717AFD"/>
    <w:rsid w:val="00721E7E"/>
    <w:rsid w:val="007265CC"/>
    <w:rsid w:val="00726B17"/>
    <w:rsid w:val="00726D72"/>
    <w:rsid w:val="00734113"/>
    <w:rsid w:val="0073545C"/>
    <w:rsid w:val="007374D4"/>
    <w:rsid w:val="007435C0"/>
    <w:rsid w:val="00745679"/>
    <w:rsid w:val="00757000"/>
    <w:rsid w:val="00763405"/>
    <w:rsid w:val="0077123B"/>
    <w:rsid w:val="007807A9"/>
    <w:rsid w:val="00793C7B"/>
    <w:rsid w:val="007953D6"/>
    <w:rsid w:val="007A2FE2"/>
    <w:rsid w:val="007B2D5A"/>
    <w:rsid w:val="007C1933"/>
    <w:rsid w:val="007C64D0"/>
    <w:rsid w:val="007C73EA"/>
    <w:rsid w:val="007D5831"/>
    <w:rsid w:val="007D6EEF"/>
    <w:rsid w:val="007D7ECF"/>
    <w:rsid w:val="007E2B91"/>
    <w:rsid w:val="007E5C6F"/>
    <w:rsid w:val="008050EE"/>
    <w:rsid w:val="00806E87"/>
    <w:rsid w:val="00807595"/>
    <w:rsid w:val="0081634F"/>
    <w:rsid w:val="00832EFB"/>
    <w:rsid w:val="00833258"/>
    <w:rsid w:val="00835993"/>
    <w:rsid w:val="0083675A"/>
    <w:rsid w:val="008553F8"/>
    <w:rsid w:val="0086146D"/>
    <w:rsid w:val="00861DA4"/>
    <w:rsid w:val="0087343E"/>
    <w:rsid w:val="00873588"/>
    <w:rsid w:val="0088058F"/>
    <w:rsid w:val="008861AD"/>
    <w:rsid w:val="00886F5D"/>
    <w:rsid w:val="008924D5"/>
    <w:rsid w:val="00897662"/>
    <w:rsid w:val="008B2043"/>
    <w:rsid w:val="008B6367"/>
    <w:rsid w:val="008C4FFE"/>
    <w:rsid w:val="008C6A9E"/>
    <w:rsid w:val="008D0FF0"/>
    <w:rsid w:val="008D19F5"/>
    <w:rsid w:val="008D38D7"/>
    <w:rsid w:val="008D4AFC"/>
    <w:rsid w:val="008D729D"/>
    <w:rsid w:val="008F106E"/>
    <w:rsid w:val="008F1327"/>
    <w:rsid w:val="00914323"/>
    <w:rsid w:val="00925A3C"/>
    <w:rsid w:val="0093135E"/>
    <w:rsid w:val="009361B2"/>
    <w:rsid w:val="00945153"/>
    <w:rsid w:val="00967369"/>
    <w:rsid w:val="0097192B"/>
    <w:rsid w:val="00971C41"/>
    <w:rsid w:val="0097322D"/>
    <w:rsid w:val="00980181"/>
    <w:rsid w:val="0098412B"/>
    <w:rsid w:val="00991A86"/>
    <w:rsid w:val="00994667"/>
    <w:rsid w:val="009A3426"/>
    <w:rsid w:val="009A395B"/>
    <w:rsid w:val="009B5F21"/>
    <w:rsid w:val="009D2787"/>
    <w:rsid w:val="009D2AFD"/>
    <w:rsid w:val="009D2B29"/>
    <w:rsid w:val="009D482B"/>
    <w:rsid w:val="009E0E36"/>
    <w:rsid w:val="009E16D4"/>
    <w:rsid w:val="00A01436"/>
    <w:rsid w:val="00A13093"/>
    <w:rsid w:val="00A25B05"/>
    <w:rsid w:val="00A33974"/>
    <w:rsid w:val="00A40A41"/>
    <w:rsid w:val="00A455BD"/>
    <w:rsid w:val="00A61F7B"/>
    <w:rsid w:val="00A64331"/>
    <w:rsid w:val="00A647E2"/>
    <w:rsid w:val="00A76648"/>
    <w:rsid w:val="00A85949"/>
    <w:rsid w:val="00A86DDD"/>
    <w:rsid w:val="00A903D4"/>
    <w:rsid w:val="00A97CD3"/>
    <w:rsid w:val="00AA0950"/>
    <w:rsid w:val="00AA31A6"/>
    <w:rsid w:val="00AA34BF"/>
    <w:rsid w:val="00AA39C9"/>
    <w:rsid w:val="00AB28CA"/>
    <w:rsid w:val="00AC2CE0"/>
    <w:rsid w:val="00AC4FF3"/>
    <w:rsid w:val="00AE5847"/>
    <w:rsid w:val="00AF1026"/>
    <w:rsid w:val="00AF341D"/>
    <w:rsid w:val="00AF6ED9"/>
    <w:rsid w:val="00B131B0"/>
    <w:rsid w:val="00B170C3"/>
    <w:rsid w:val="00B203B8"/>
    <w:rsid w:val="00B4068C"/>
    <w:rsid w:val="00B4426E"/>
    <w:rsid w:val="00B4524D"/>
    <w:rsid w:val="00B45E06"/>
    <w:rsid w:val="00B468EB"/>
    <w:rsid w:val="00B52B33"/>
    <w:rsid w:val="00B67149"/>
    <w:rsid w:val="00B70666"/>
    <w:rsid w:val="00B751C3"/>
    <w:rsid w:val="00B80000"/>
    <w:rsid w:val="00B87968"/>
    <w:rsid w:val="00BA2B9A"/>
    <w:rsid w:val="00BA4A47"/>
    <w:rsid w:val="00BA675B"/>
    <w:rsid w:val="00BB40C9"/>
    <w:rsid w:val="00BC3457"/>
    <w:rsid w:val="00BD29AB"/>
    <w:rsid w:val="00BD4A9D"/>
    <w:rsid w:val="00BD750F"/>
    <w:rsid w:val="00BE31FD"/>
    <w:rsid w:val="00BF26E4"/>
    <w:rsid w:val="00BF427F"/>
    <w:rsid w:val="00BF49A0"/>
    <w:rsid w:val="00C0421E"/>
    <w:rsid w:val="00C24611"/>
    <w:rsid w:val="00C30ED4"/>
    <w:rsid w:val="00C4445D"/>
    <w:rsid w:val="00C73C91"/>
    <w:rsid w:val="00C85195"/>
    <w:rsid w:val="00C86D86"/>
    <w:rsid w:val="00C96C23"/>
    <w:rsid w:val="00CA0E6C"/>
    <w:rsid w:val="00CA54F9"/>
    <w:rsid w:val="00CB036C"/>
    <w:rsid w:val="00CB6581"/>
    <w:rsid w:val="00CC6665"/>
    <w:rsid w:val="00CD7EA5"/>
    <w:rsid w:val="00CE2AF3"/>
    <w:rsid w:val="00CE53A8"/>
    <w:rsid w:val="00CE78F6"/>
    <w:rsid w:val="00CF1CE8"/>
    <w:rsid w:val="00CF239F"/>
    <w:rsid w:val="00D116C0"/>
    <w:rsid w:val="00D2316B"/>
    <w:rsid w:val="00D25E80"/>
    <w:rsid w:val="00D30133"/>
    <w:rsid w:val="00D32BD6"/>
    <w:rsid w:val="00D416D0"/>
    <w:rsid w:val="00D64772"/>
    <w:rsid w:val="00D7005D"/>
    <w:rsid w:val="00D9163A"/>
    <w:rsid w:val="00D91F2B"/>
    <w:rsid w:val="00D9504E"/>
    <w:rsid w:val="00DA108B"/>
    <w:rsid w:val="00DB0A7F"/>
    <w:rsid w:val="00DC04CB"/>
    <w:rsid w:val="00DC1354"/>
    <w:rsid w:val="00DD2EC6"/>
    <w:rsid w:val="00DE708B"/>
    <w:rsid w:val="00DF0ECD"/>
    <w:rsid w:val="00DF1B84"/>
    <w:rsid w:val="00DF737E"/>
    <w:rsid w:val="00E04728"/>
    <w:rsid w:val="00E34CC3"/>
    <w:rsid w:val="00E352A8"/>
    <w:rsid w:val="00E40DCD"/>
    <w:rsid w:val="00E41F76"/>
    <w:rsid w:val="00E5171E"/>
    <w:rsid w:val="00E57873"/>
    <w:rsid w:val="00E66C82"/>
    <w:rsid w:val="00E75F9B"/>
    <w:rsid w:val="00E805AE"/>
    <w:rsid w:val="00E87673"/>
    <w:rsid w:val="00E963AA"/>
    <w:rsid w:val="00EB174F"/>
    <w:rsid w:val="00EB6B71"/>
    <w:rsid w:val="00EB7D98"/>
    <w:rsid w:val="00EC7AF7"/>
    <w:rsid w:val="00ED445B"/>
    <w:rsid w:val="00ED5AE0"/>
    <w:rsid w:val="00EF110F"/>
    <w:rsid w:val="00EF3FD5"/>
    <w:rsid w:val="00EF42CB"/>
    <w:rsid w:val="00F024C3"/>
    <w:rsid w:val="00F05A32"/>
    <w:rsid w:val="00F06E9B"/>
    <w:rsid w:val="00F100D5"/>
    <w:rsid w:val="00F3568E"/>
    <w:rsid w:val="00F37666"/>
    <w:rsid w:val="00F51DCA"/>
    <w:rsid w:val="00F55A11"/>
    <w:rsid w:val="00F573D9"/>
    <w:rsid w:val="00F603F1"/>
    <w:rsid w:val="00F621D7"/>
    <w:rsid w:val="00F64109"/>
    <w:rsid w:val="00F933E2"/>
    <w:rsid w:val="00FB2E15"/>
    <w:rsid w:val="00FC2BCA"/>
    <w:rsid w:val="00FF4519"/>
    <w:rsid w:val="00FF5B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15364"/>
  <w15:chartTrackingRefBased/>
  <w15:docId w15:val="{EF54BA1C-A86B-4004-BEDF-DB91D84E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010"/>
  </w:style>
  <w:style w:type="paragraph" w:styleId="Ttulo1">
    <w:name w:val="heading 1"/>
    <w:basedOn w:val="Normal"/>
    <w:next w:val="Normal"/>
    <w:link w:val="Ttulo1Car"/>
    <w:uiPriority w:val="9"/>
    <w:qFormat/>
    <w:rsid w:val="00AF34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AF34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AF341D"/>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AF341D"/>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AF341D"/>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F341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F341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F341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F341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F341D"/>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AF341D"/>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AF341D"/>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AF341D"/>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AF341D"/>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AF341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F341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F341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F341D"/>
    <w:rPr>
      <w:rFonts w:eastAsiaTheme="majorEastAsia" w:cstheme="majorBidi"/>
      <w:color w:val="272727" w:themeColor="text1" w:themeTint="D8"/>
    </w:rPr>
  </w:style>
  <w:style w:type="paragraph" w:styleId="Ttulo">
    <w:name w:val="Title"/>
    <w:basedOn w:val="Normal"/>
    <w:next w:val="Normal"/>
    <w:link w:val="TtuloCar"/>
    <w:uiPriority w:val="10"/>
    <w:qFormat/>
    <w:rsid w:val="00AF34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F341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F341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F341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F341D"/>
    <w:pPr>
      <w:spacing w:before="160"/>
      <w:jc w:val="center"/>
    </w:pPr>
    <w:rPr>
      <w:i/>
      <w:iCs/>
      <w:color w:val="404040" w:themeColor="text1" w:themeTint="BF"/>
    </w:rPr>
  </w:style>
  <w:style w:type="character" w:customStyle="1" w:styleId="CitaCar">
    <w:name w:val="Cita Car"/>
    <w:basedOn w:val="Fuentedeprrafopredeter"/>
    <w:link w:val="Cita"/>
    <w:uiPriority w:val="29"/>
    <w:rsid w:val="00AF341D"/>
    <w:rPr>
      <w:i/>
      <w:iCs/>
      <w:color w:val="404040" w:themeColor="text1" w:themeTint="BF"/>
    </w:rPr>
  </w:style>
  <w:style w:type="paragraph" w:styleId="Prrafodelista">
    <w:name w:val="List Paragraph"/>
    <w:basedOn w:val="Normal"/>
    <w:uiPriority w:val="34"/>
    <w:qFormat/>
    <w:rsid w:val="00AF341D"/>
    <w:pPr>
      <w:ind w:left="720"/>
      <w:contextualSpacing/>
    </w:pPr>
  </w:style>
  <w:style w:type="character" w:styleId="nfasisintenso">
    <w:name w:val="Intense Emphasis"/>
    <w:basedOn w:val="Fuentedeprrafopredeter"/>
    <w:uiPriority w:val="21"/>
    <w:qFormat/>
    <w:rsid w:val="00AF341D"/>
    <w:rPr>
      <w:i/>
      <w:iCs/>
      <w:color w:val="2F5496" w:themeColor="accent1" w:themeShade="BF"/>
    </w:rPr>
  </w:style>
  <w:style w:type="paragraph" w:styleId="Citadestacada">
    <w:name w:val="Intense Quote"/>
    <w:basedOn w:val="Normal"/>
    <w:next w:val="Normal"/>
    <w:link w:val="CitadestacadaCar"/>
    <w:uiPriority w:val="30"/>
    <w:qFormat/>
    <w:rsid w:val="00AF34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AF341D"/>
    <w:rPr>
      <w:i/>
      <w:iCs/>
      <w:color w:val="2F5496" w:themeColor="accent1" w:themeShade="BF"/>
    </w:rPr>
  </w:style>
  <w:style w:type="character" w:styleId="Referenciaintensa">
    <w:name w:val="Intense Reference"/>
    <w:basedOn w:val="Fuentedeprrafopredeter"/>
    <w:uiPriority w:val="32"/>
    <w:qFormat/>
    <w:rsid w:val="00AF341D"/>
    <w:rPr>
      <w:b/>
      <w:bCs/>
      <w:smallCaps/>
      <w:color w:val="2F5496" w:themeColor="accent1" w:themeShade="BF"/>
      <w:spacing w:val="5"/>
    </w:rPr>
  </w:style>
  <w:style w:type="paragraph" w:customStyle="1" w:styleId="xmsonormal">
    <w:name w:val="x_msonormal"/>
    <w:basedOn w:val="Normal"/>
    <w:rsid w:val="00B468E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 w:type="paragraph" w:customStyle="1" w:styleId="xgmail-msolistparagraph">
    <w:name w:val="x_gmail-msolistparagraph"/>
    <w:basedOn w:val="Normal"/>
    <w:rsid w:val="00793C7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 w:type="character" w:styleId="Hipervnculo">
    <w:name w:val="Hyperlink"/>
    <w:basedOn w:val="Fuentedeprrafopredeter"/>
    <w:uiPriority w:val="99"/>
    <w:unhideWhenUsed/>
    <w:rsid w:val="008D19F5"/>
    <w:rPr>
      <w:color w:val="0563C1" w:themeColor="hyperlink"/>
      <w:u w:val="single"/>
    </w:rPr>
  </w:style>
  <w:style w:type="character" w:styleId="Mencinsinresolver">
    <w:name w:val="Unresolved Mention"/>
    <w:basedOn w:val="Fuentedeprrafopredeter"/>
    <w:uiPriority w:val="99"/>
    <w:semiHidden/>
    <w:unhideWhenUsed/>
    <w:rsid w:val="008D1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3301">
      <w:bodyDiv w:val="1"/>
      <w:marLeft w:val="0"/>
      <w:marRight w:val="0"/>
      <w:marTop w:val="0"/>
      <w:marBottom w:val="0"/>
      <w:divBdr>
        <w:top w:val="none" w:sz="0" w:space="0" w:color="auto"/>
        <w:left w:val="none" w:sz="0" w:space="0" w:color="auto"/>
        <w:bottom w:val="none" w:sz="0" w:space="0" w:color="auto"/>
        <w:right w:val="none" w:sz="0" w:space="0" w:color="auto"/>
      </w:divBdr>
    </w:div>
    <w:div w:id="941574642">
      <w:bodyDiv w:val="1"/>
      <w:marLeft w:val="0"/>
      <w:marRight w:val="0"/>
      <w:marTop w:val="0"/>
      <w:marBottom w:val="0"/>
      <w:divBdr>
        <w:top w:val="none" w:sz="0" w:space="0" w:color="auto"/>
        <w:left w:val="none" w:sz="0" w:space="0" w:color="auto"/>
        <w:bottom w:val="none" w:sz="0" w:space="0" w:color="auto"/>
        <w:right w:val="none" w:sz="0" w:space="0" w:color="auto"/>
      </w:divBdr>
      <w:divsChild>
        <w:div w:id="852692357">
          <w:marLeft w:val="0"/>
          <w:marRight w:val="0"/>
          <w:marTop w:val="0"/>
          <w:marBottom w:val="0"/>
          <w:divBdr>
            <w:top w:val="none" w:sz="0" w:space="0" w:color="auto"/>
            <w:left w:val="none" w:sz="0" w:space="0" w:color="auto"/>
            <w:bottom w:val="none" w:sz="0" w:space="0" w:color="auto"/>
            <w:right w:val="none" w:sz="0" w:space="0" w:color="auto"/>
          </w:divBdr>
          <w:divsChild>
            <w:div w:id="42562032">
              <w:marLeft w:val="0"/>
              <w:marRight w:val="0"/>
              <w:marTop w:val="0"/>
              <w:marBottom w:val="0"/>
              <w:divBdr>
                <w:top w:val="none" w:sz="0" w:space="0" w:color="auto"/>
                <w:left w:val="none" w:sz="0" w:space="0" w:color="auto"/>
                <w:bottom w:val="none" w:sz="0" w:space="0" w:color="auto"/>
                <w:right w:val="none" w:sz="0" w:space="0" w:color="auto"/>
              </w:divBdr>
              <w:divsChild>
                <w:div w:id="1691296247">
                  <w:marLeft w:val="0"/>
                  <w:marRight w:val="0"/>
                  <w:marTop w:val="0"/>
                  <w:marBottom w:val="0"/>
                  <w:divBdr>
                    <w:top w:val="none" w:sz="0" w:space="0" w:color="auto"/>
                    <w:left w:val="none" w:sz="0" w:space="0" w:color="auto"/>
                    <w:bottom w:val="none" w:sz="0" w:space="0" w:color="auto"/>
                    <w:right w:val="none" w:sz="0" w:space="0" w:color="auto"/>
                  </w:divBdr>
                </w:div>
              </w:divsChild>
            </w:div>
            <w:div w:id="5372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01376">
      <w:bodyDiv w:val="1"/>
      <w:marLeft w:val="0"/>
      <w:marRight w:val="0"/>
      <w:marTop w:val="0"/>
      <w:marBottom w:val="0"/>
      <w:divBdr>
        <w:top w:val="none" w:sz="0" w:space="0" w:color="auto"/>
        <w:left w:val="none" w:sz="0" w:space="0" w:color="auto"/>
        <w:bottom w:val="none" w:sz="0" w:space="0" w:color="auto"/>
        <w:right w:val="none" w:sz="0" w:space="0" w:color="auto"/>
      </w:divBdr>
    </w:div>
    <w:div w:id="1457798608">
      <w:bodyDiv w:val="1"/>
      <w:marLeft w:val="0"/>
      <w:marRight w:val="0"/>
      <w:marTop w:val="0"/>
      <w:marBottom w:val="0"/>
      <w:divBdr>
        <w:top w:val="none" w:sz="0" w:space="0" w:color="auto"/>
        <w:left w:val="none" w:sz="0" w:space="0" w:color="auto"/>
        <w:bottom w:val="none" w:sz="0" w:space="0" w:color="auto"/>
        <w:right w:val="none" w:sz="0" w:space="0" w:color="auto"/>
      </w:divBdr>
    </w:div>
    <w:div w:id="1512260206">
      <w:bodyDiv w:val="1"/>
      <w:marLeft w:val="0"/>
      <w:marRight w:val="0"/>
      <w:marTop w:val="0"/>
      <w:marBottom w:val="0"/>
      <w:divBdr>
        <w:top w:val="none" w:sz="0" w:space="0" w:color="auto"/>
        <w:left w:val="none" w:sz="0" w:space="0" w:color="auto"/>
        <w:bottom w:val="none" w:sz="0" w:space="0" w:color="auto"/>
        <w:right w:val="none" w:sz="0" w:space="0" w:color="auto"/>
      </w:divBdr>
      <w:divsChild>
        <w:div w:id="1715693571">
          <w:marLeft w:val="0"/>
          <w:marRight w:val="0"/>
          <w:marTop w:val="0"/>
          <w:marBottom w:val="0"/>
          <w:divBdr>
            <w:top w:val="none" w:sz="0" w:space="0" w:color="auto"/>
            <w:left w:val="none" w:sz="0" w:space="0" w:color="auto"/>
            <w:bottom w:val="none" w:sz="0" w:space="0" w:color="auto"/>
            <w:right w:val="none" w:sz="0" w:space="0" w:color="auto"/>
          </w:divBdr>
          <w:divsChild>
            <w:div w:id="2130976238">
              <w:marLeft w:val="0"/>
              <w:marRight w:val="0"/>
              <w:marTop w:val="0"/>
              <w:marBottom w:val="0"/>
              <w:divBdr>
                <w:top w:val="none" w:sz="0" w:space="0" w:color="auto"/>
                <w:left w:val="none" w:sz="0" w:space="0" w:color="auto"/>
                <w:bottom w:val="none" w:sz="0" w:space="0" w:color="auto"/>
                <w:right w:val="none" w:sz="0" w:space="0" w:color="auto"/>
              </w:divBdr>
              <w:divsChild>
                <w:div w:id="1177841141">
                  <w:marLeft w:val="0"/>
                  <w:marRight w:val="0"/>
                  <w:marTop w:val="0"/>
                  <w:marBottom w:val="0"/>
                  <w:divBdr>
                    <w:top w:val="none" w:sz="0" w:space="0" w:color="auto"/>
                    <w:left w:val="none" w:sz="0" w:space="0" w:color="auto"/>
                    <w:bottom w:val="none" w:sz="0" w:space="0" w:color="auto"/>
                    <w:right w:val="none" w:sz="0" w:space="0" w:color="auto"/>
                  </w:divBdr>
                </w:div>
              </w:divsChild>
            </w:div>
            <w:div w:id="98469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89155">
      <w:bodyDiv w:val="1"/>
      <w:marLeft w:val="0"/>
      <w:marRight w:val="0"/>
      <w:marTop w:val="0"/>
      <w:marBottom w:val="0"/>
      <w:divBdr>
        <w:top w:val="none" w:sz="0" w:space="0" w:color="auto"/>
        <w:left w:val="none" w:sz="0" w:space="0" w:color="auto"/>
        <w:bottom w:val="none" w:sz="0" w:space="0" w:color="auto"/>
        <w:right w:val="none" w:sz="0" w:space="0" w:color="auto"/>
      </w:divBdr>
    </w:div>
    <w:div w:id="21145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4471</Words>
  <Characters>24592</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dc:creator>
  <cp:keywords/>
  <dc:description/>
  <cp:lastModifiedBy>Lorena</cp:lastModifiedBy>
  <cp:revision>2</cp:revision>
  <dcterms:created xsi:type="dcterms:W3CDTF">2025-09-11T20:42:00Z</dcterms:created>
  <dcterms:modified xsi:type="dcterms:W3CDTF">2025-09-11T20:42:00Z</dcterms:modified>
</cp:coreProperties>
</file>